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2998" w14:textId="113A1C1A" w:rsidR="00CD0F77" w:rsidRDefault="006F2B91" w:rsidP="006F2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6AE">
        <w:rPr>
          <w:rFonts w:ascii="Times New Roman" w:hAnsi="Times New Roman"/>
          <w:b/>
          <w:sz w:val="28"/>
          <w:szCs w:val="28"/>
          <w:lang w:val="uk-UA"/>
        </w:rPr>
        <w:t>Порівня</w:t>
      </w:r>
      <w:r>
        <w:rPr>
          <w:rFonts w:ascii="Times New Roman" w:hAnsi="Times New Roman"/>
          <w:b/>
          <w:sz w:val="28"/>
          <w:szCs w:val="28"/>
          <w:lang w:val="uk-UA"/>
        </w:rPr>
        <w:t>нн</w:t>
      </w:r>
      <w:r w:rsidRPr="00F156AE"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0E3A">
        <w:rPr>
          <w:rFonts w:ascii="Times New Roman" w:hAnsi="Times New Roman"/>
          <w:b/>
          <w:sz w:val="28"/>
          <w:szCs w:val="28"/>
          <w:lang w:val="uk-UA"/>
        </w:rPr>
        <w:t>структури змісту п</w:t>
      </w:r>
      <w:r w:rsidRPr="00F156AE">
        <w:rPr>
          <w:rFonts w:ascii="Times New Roman" w:hAnsi="Times New Roman"/>
          <w:b/>
          <w:sz w:val="28"/>
          <w:szCs w:val="28"/>
          <w:lang w:val="uk-UA"/>
        </w:rPr>
        <w:t>ро</w:t>
      </w:r>
      <w:r w:rsidR="008C712B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F156AE">
        <w:rPr>
          <w:rFonts w:ascii="Times New Roman" w:hAnsi="Times New Roman"/>
          <w:b/>
          <w:sz w:val="28"/>
          <w:szCs w:val="28"/>
          <w:lang w:val="uk-UA"/>
        </w:rPr>
        <w:t>кт</w:t>
      </w:r>
      <w:r w:rsidR="008A0E3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F156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0E3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F156AE">
        <w:rPr>
          <w:rFonts w:ascii="Times New Roman" w:hAnsi="Times New Roman"/>
          <w:b/>
          <w:sz w:val="28"/>
          <w:szCs w:val="28"/>
          <w:lang w:val="uk-UA"/>
        </w:rPr>
        <w:t xml:space="preserve">акону України </w:t>
      </w:r>
      <w:r w:rsidR="00CD0F77" w:rsidRPr="00F156AE">
        <w:rPr>
          <w:rFonts w:ascii="Times New Roman" w:hAnsi="Times New Roman"/>
          <w:b/>
          <w:sz w:val="28"/>
          <w:szCs w:val="28"/>
          <w:lang w:val="uk-UA"/>
        </w:rPr>
        <w:t>«Про лікарські засоб</w:t>
      </w:r>
      <w:r w:rsidR="009E7D99">
        <w:rPr>
          <w:rFonts w:ascii="Times New Roman" w:hAnsi="Times New Roman"/>
          <w:b/>
          <w:sz w:val="28"/>
          <w:szCs w:val="28"/>
          <w:lang w:val="uk-UA"/>
        </w:rPr>
        <w:t>и</w:t>
      </w:r>
      <w:r w:rsidR="00CD0F77" w:rsidRPr="00F156AE">
        <w:rPr>
          <w:rFonts w:ascii="Times New Roman" w:hAnsi="Times New Roman"/>
          <w:b/>
          <w:sz w:val="28"/>
          <w:szCs w:val="28"/>
          <w:lang w:val="uk-UA"/>
        </w:rPr>
        <w:t>»</w:t>
      </w:r>
      <w:r w:rsidR="008A0E3A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8A0E3A" w:rsidRPr="008A0E3A">
        <w:rPr>
          <w:rFonts w:ascii="Times New Roman" w:hAnsi="Times New Roman"/>
          <w:b/>
          <w:sz w:val="28"/>
          <w:szCs w:val="28"/>
          <w:lang w:val="uk-UA"/>
        </w:rPr>
        <w:t>Директив</w:t>
      </w:r>
      <w:r w:rsidR="008A0E3A">
        <w:rPr>
          <w:rFonts w:ascii="Times New Roman" w:hAnsi="Times New Roman"/>
          <w:b/>
          <w:sz w:val="28"/>
          <w:szCs w:val="28"/>
          <w:lang w:val="uk-UA"/>
        </w:rPr>
        <w:t>и</w:t>
      </w:r>
      <w:r w:rsidR="008A0E3A" w:rsidRPr="008A0E3A">
        <w:rPr>
          <w:rFonts w:ascii="Times New Roman" w:hAnsi="Times New Roman"/>
          <w:b/>
          <w:sz w:val="28"/>
          <w:szCs w:val="28"/>
          <w:lang w:val="uk-UA"/>
        </w:rPr>
        <w:t xml:space="preserve"> 2001/83/EС «Про Кодекс Співтовариства щодо лікарських засобів, призначених для споживання людиною»</w:t>
      </w:r>
    </w:p>
    <w:p w14:paraId="5CC3F3F8" w14:textId="77777777" w:rsidR="00B63DA7" w:rsidRPr="00DB7710" w:rsidRDefault="00B63DA7" w:rsidP="004E3402">
      <w:pPr>
        <w:spacing w:after="0" w:line="240" w:lineRule="auto"/>
        <w:ind w:right="-370"/>
        <w:jc w:val="center"/>
        <w:rPr>
          <w:rFonts w:ascii="Times New Roman" w:hAnsi="Times New Roman"/>
          <w:bCs/>
          <w:sz w:val="16"/>
          <w:szCs w:val="16"/>
          <w:lang w:val="uk-UA"/>
        </w:rPr>
      </w:pPr>
    </w:p>
    <w:tbl>
      <w:tblPr>
        <w:tblW w:w="15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0"/>
        <w:gridCol w:w="7900"/>
      </w:tblGrid>
      <w:tr w:rsidR="00CD0F77" w:rsidRPr="00DB7710" w14:paraId="265B6FCB" w14:textId="77777777" w:rsidTr="00822778">
        <w:trPr>
          <w:tblHeader/>
        </w:trPr>
        <w:tc>
          <w:tcPr>
            <w:tcW w:w="7900" w:type="dxa"/>
          </w:tcPr>
          <w:p w14:paraId="400D6DA2" w14:textId="37262C32" w:rsidR="00CD0F77" w:rsidRPr="00DB7710" w:rsidRDefault="006F2B91" w:rsidP="005710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</w:t>
            </w:r>
            <w:r w:rsidR="008C712B" w:rsidRPr="00DB77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</w:t>
            </w:r>
            <w:r w:rsidRPr="00DB77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кт закону України «Про лікарські засоби», розроблений групою експертів</w:t>
            </w:r>
          </w:p>
        </w:tc>
        <w:tc>
          <w:tcPr>
            <w:tcW w:w="7900" w:type="dxa"/>
          </w:tcPr>
          <w:p w14:paraId="7EF2094B" w14:textId="372AB86F" w:rsidR="00CD0F77" w:rsidRPr="00DB7710" w:rsidRDefault="008A0E3A" w:rsidP="005710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Директива 2001/83/</w:t>
            </w:r>
            <w:r w:rsidRPr="00DB771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DB77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 «Про Кодекс Співтовариства щодо лікарських засобів, призначених для споживання людиною»</w:t>
            </w:r>
          </w:p>
        </w:tc>
      </w:tr>
      <w:tr w:rsidR="00CD0F77" w:rsidRPr="00DB7710" w14:paraId="6B86E889" w14:textId="77777777" w:rsidTr="001770F6">
        <w:trPr>
          <w:trHeight w:val="254"/>
        </w:trPr>
        <w:tc>
          <w:tcPr>
            <w:tcW w:w="7900" w:type="dxa"/>
          </w:tcPr>
          <w:p w14:paraId="17592E10" w14:textId="550E4C18" w:rsidR="00073170" w:rsidRPr="00DB7710" w:rsidRDefault="008A0E3A" w:rsidP="001770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Преамбула</w:t>
            </w:r>
          </w:p>
        </w:tc>
        <w:tc>
          <w:tcPr>
            <w:tcW w:w="7900" w:type="dxa"/>
          </w:tcPr>
          <w:p w14:paraId="3E6625BD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Преамбула</w:t>
            </w:r>
          </w:p>
          <w:p w14:paraId="3098A88D" w14:textId="77777777" w:rsidR="00352A35" w:rsidRPr="001770F6" w:rsidRDefault="00352A35" w:rsidP="00BA67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  <w:lang w:val="uk-UA" w:eastAsia="ru-RU"/>
              </w:rPr>
            </w:pPr>
          </w:p>
        </w:tc>
      </w:tr>
      <w:tr w:rsidR="008A0E3A" w:rsidRPr="00DB7710" w14:paraId="0B0A3B47" w14:textId="77777777" w:rsidTr="00822778">
        <w:tc>
          <w:tcPr>
            <w:tcW w:w="7900" w:type="dxa"/>
          </w:tcPr>
          <w:p w14:paraId="6CF493F8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І ЗАГАЛЬНІ ПОЛОЖЕННЯ</w:t>
            </w:r>
          </w:p>
          <w:p w14:paraId="7DDD8155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1. Законодавство про лікарські засоби</w:t>
            </w:r>
          </w:p>
          <w:p w14:paraId="35B79DFA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2. Визначення термінів</w:t>
            </w:r>
          </w:p>
          <w:p w14:paraId="603462A6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3. Реалізація державної політики щодо ефективності, якості та безпеки лікарських засобів</w:t>
            </w:r>
          </w:p>
          <w:p w14:paraId="54B96A8C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4. Державне регулювання у сфері лікарських засобів</w:t>
            </w:r>
          </w:p>
          <w:p w14:paraId="68395A71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5. Сфера застосування Закону</w:t>
            </w:r>
          </w:p>
          <w:p w14:paraId="7B4F9C3B" w14:textId="77777777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6. Виключення зі сфери дії Закону</w:t>
            </w:r>
          </w:p>
          <w:p w14:paraId="1F47DF36" w14:textId="382974F3" w:rsidR="008A0E3A" w:rsidRPr="00DB7710" w:rsidRDefault="008A0E3A" w:rsidP="008A0E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7. Виключення зі сфери дії Закону за наявності особливих потреб</w:t>
            </w:r>
          </w:p>
        </w:tc>
        <w:tc>
          <w:tcPr>
            <w:tcW w:w="7900" w:type="dxa"/>
          </w:tcPr>
          <w:p w14:paraId="11A93D6F" w14:textId="679D2628" w:rsidR="00CB6D3C" w:rsidRPr="00DB7710" w:rsidRDefault="00CB6D3C" w:rsidP="00CB6D3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I</w:t>
            </w: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DEFINITIONS</w:t>
            </w:r>
          </w:p>
          <w:p w14:paraId="1EDA3E7C" w14:textId="77777777" w:rsidR="008A0E3A" w:rsidRPr="00DB7710" w:rsidRDefault="00CB6D3C" w:rsidP="00CB6D3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</w:t>
            </w:r>
          </w:p>
          <w:p w14:paraId="1EB8EDDC" w14:textId="7A0F12AB" w:rsidR="00CB6D3C" w:rsidRPr="00DB7710" w:rsidRDefault="00CB6D3C" w:rsidP="00CB6D3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II</w:t>
            </w: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SCOPE</w:t>
            </w:r>
          </w:p>
          <w:p w14:paraId="0DB4E261" w14:textId="77777777" w:rsidR="00CB6D3C" w:rsidRPr="00DB7710" w:rsidRDefault="00CB6D3C" w:rsidP="00CB6D3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2</w:t>
            </w:r>
          </w:p>
          <w:p w14:paraId="4FC27F77" w14:textId="77777777" w:rsidR="00CB6D3C" w:rsidRPr="00DB7710" w:rsidRDefault="00CB6D3C" w:rsidP="00CB6D3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3</w:t>
            </w:r>
          </w:p>
          <w:p w14:paraId="6C69D794" w14:textId="77777777" w:rsidR="00CB6D3C" w:rsidRPr="00DB7710" w:rsidRDefault="00CB6D3C" w:rsidP="00CB6D3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4</w:t>
            </w:r>
          </w:p>
          <w:p w14:paraId="234AE399" w14:textId="5505DD93" w:rsidR="00CB6D3C" w:rsidRPr="00DB7710" w:rsidRDefault="00CB6D3C" w:rsidP="00CB6D3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</w:t>
            </w:r>
          </w:p>
        </w:tc>
      </w:tr>
      <w:tr w:rsidR="00EF52D6" w:rsidRPr="00DB7710" w14:paraId="6091B0B3" w14:textId="77777777" w:rsidTr="00822778">
        <w:tc>
          <w:tcPr>
            <w:tcW w:w="7900" w:type="dxa"/>
          </w:tcPr>
          <w:p w14:paraId="6C5F5EED" w14:textId="77777777" w:rsidR="00CB6D3C" w:rsidRPr="00DB7710" w:rsidRDefault="00CB6D3C" w:rsidP="00CB6D3C">
            <w:p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II СТВОРЕННЯ ЛІКАРСЬКИХ ЗАСОБІВ</w:t>
            </w:r>
          </w:p>
          <w:p w14:paraId="21C9AD73" w14:textId="77777777" w:rsidR="00CB6D3C" w:rsidRPr="00DB7710" w:rsidRDefault="00CB6D3C" w:rsidP="00CB6D3C">
            <w:p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8. Фармацевтична розробка лікарських засобів</w:t>
            </w:r>
          </w:p>
          <w:p w14:paraId="510FD849" w14:textId="77777777" w:rsidR="00CB6D3C" w:rsidRPr="00DB7710" w:rsidRDefault="00CB6D3C" w:rsidP="00CB6D3C">
            <w:p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9. Доклінічні дослідження лікарських засобів</w:t>
            </w:r>
          </w:p>
          <w:p w14:paraId="67E95B9B" w14:textId="77777777" w:rsidR="00CB6D3C" w:rsidRPr="00DB7710" w:rsidRDefault="00CB6D3C" w:rsidP="00CB6D3C">
            <w:p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10. Клінічні випробування (дослідження) лікарських засобів</w:t>
            </w:r>
          </w:p>
          <w:p w14:paraId="7E6C4982" w14:textId="77777777" w:rsidR="00CB6D3C" w:rsidRPr="00DB7710" w:rsidRDefault="00CB6D3C" w:rsidP="00CB6D3C">
            <w:p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11. Доведення біоеквівалентності генеричних лікарських засобів</w:t>
            </w:r>
          </w:p>
          <w:p w14:paraId="69E7FD7E" w14:textId="1B4CF844" w:rsidR="00EF52D6" w:rsidRPr="00DB7710" w:rsidRDefault="00CB6D3C" w:rsidP="00CB6D3C">
            <w:p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12. Захист прав суб’єктів дослідження, які беруть участь у клінічних випробуваннях (дослідженнях) лікарських засобів</w:t>
            </w:r>
          </w:p>
        </w:tc>
        <w:tc>
          <w:tcPr>
            <w:tcW w:w="7900" w:type="dxa"/>
          </w:tcPr>
          <w:p w14:paraId="03F4C762" w14:textId="43EDE17F" w:rsidR="00EF52D6" w:rsidRPr="00DB7710" w:rsidRDefault="00CB6D3C" w:rsidP="00CC7F2D">
            <w:pPr>
              <w:tabs>
                <w:tab w:val="left" w:pos="768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 w:eastAsia="ru-RU"/>
              </w:rPr>
              <w:t>Відсутні</w:t>
            </w:r>
          </w:p>
        </w:tc>
      </w:tr>
      <w:tr w:rsidR="00555D02" w:rsidRPr="00DB7710" w14:paraId="0943EC7D" w14:textId="77777777" w:rsidTr="00822778">
        <w:tc>
          <w:tcPr>
            <w:tcW w:w="7900" w:type="dxa"/>
          </w:tcPr>
          <w:p w14:paraId="0D7B8CC0" w14:textId="77777777" w:rsidR="00CB6D3C" w:rsidRPr="00DB7710" w:rsidRDefault="00CB6D3C" w:rsidP="000D2FE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III РОЗМІЩЕННЯ НА РИНКУ</w:t>
            </w:r>
          </w:p>
          <w:p w14:paraId="57D36688" w14:textId="77777777" w:rsidR="00CB6D3C" w:rsidRPr="00DB7710" w:rsidRDefault="00CB6D3C" w:rsidP="000D2FE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</w:t>
            </w:r>
          </w:p>
          <w:p w14:paraId="641165DE" w14:textId="77777777" w:rsidR="00CB6D3C" w:rsidRPr="00DB7710" w:rsidRDefault="00CB6D3C" w:rsidP="000D2FE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МАРКЕТИНГОВИЙ ДОЗВІЛ НА МЕДИЧНЕ ЗАСТОСУВАННЯ ЛІКАРСЬКОГО ЗАСОБУ</w:t>
            </w:r>
          </w:p>
          <w:p w14:paraId="0A7DD629" w14:textId="77777777" w:rsidR="00CB6D3C" w:rsidRPr="00DB7710" w:rsidRDefault="00CB6D3C" w:rsidP="000D2FE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13. Загальні положення щодо розміщення лікарського засобу на ринку України</w:t>
            </w:r>
          </w:p>
          <w:p w14:paraId="188D9493" w14:textId="77777777" w:rsidR="00CB6D3C" w:rsidRPr="00DB7710" w:rsidRDefault="00CB6D3C" w:rsidP="000D2FE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Стаття 14. Процедури державної реєстрації лікарських засобів</w:t>
            </w:r>
          </w:p>
          <w:p w14:paraId="0A898F4A" w14:textId="77777777" w:rsidR="00CB6D3C" w:rsidRPr="00DB7710" w:rsidRDefault="00CB6D3C" w:rsidP="000D2FE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15. Вимоги щодо змісту заяви на державну реєстрацію для отримання рішення про надання маркетингового дозволу на медичне застосування лікарського засобу та матеріалів реєстраційного досьє</w:t>
            </w:r>
          </w:p>
          <w:p w14:paraId="5A4AD316" w14:textId="77777777" w:rsidR="00CB6D3C" w:rsidRPr="00DB7710" w:rsidRDefault="00CB6D3C" w:rsidP="000D2FE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Стаття 16. Зміст заяви на державну реєстрацію для отримання рішення про надання маркетингового дозволу на медичне застосування джерела радіонуклідів</w:t>
            </w:r>
          </w:p>
          <w:p w14:paraId="0390DE98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Стаття 17. Надання маркетингових дозволів на медичне застосування референтних та генеричних лікарських засобів</w:t>
            </w:r>
          </w:p>
          <w:p w14:paraId="67B81A66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Стаття 18. Звільнення заявника від обов'язку щодо подання результатів доклінічних і клінічних досліджень</w:t>
            </w:r>
          </w:p>
          <w:p w14:paraId="1CD9A934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Стаття 19. Особливості надання маркетингових дозволів на медичне застосування комбінації діючих речовин у складі лікарського засобу</w:t>
            </w:r>
          </w:p>
          <w:p w14:paraId="653CE3D0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Стаття 20. Використання ліцензійної документації</w:t>
            </w:r>
          </w:p>
          <w:p w14:paraId="6BFC9E0B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Стаття 21. Характеристика лікарського засобу</w:t>
            </w:r>
          </w:p>
          <w:p w14:paraId="5547F306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Стаття 22. Посвідчення документів, що подаються для отримання рішення про надання маркетингового дозволу на медичне застосування лікарського засобу</w:t>
            </w:r>
          </w:p>
          <w:p w14:paraId="4442FDBA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II</w:t>
            </w:r>
          </w:p>
          <w:p w14:paraId="590CAC86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СПЕЦІАЛЬНІ ПОЛОЖЕННЯ ЩОДО ГОМЕОПАТИЧНИХ ЛІКАРСЬКИХ ЗАСОБІВ</w:t>
            </w:r>
          </w:p>
          <w:p w14:paraId="5643765B" w14:textId="77777777" w:rsidR="00CB6D3C" w:rsidRPr="00DB7710" w:rsidRDefault="00CB6D3C" w:rsidP="00CB6D3C">
            <w:pPr>
              <w:tabs>
                <w:tab w:val="left" w:pos="0"/>
              </w:tabs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DB7710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Стаття 23. Прийняття рішення про надання маркетингових дозволів на медичне застосування гомеопатичних лікарських засобів</w:t>
            </w:r>
          </w:p>
          <w:p w14:paraId="75206D8D" w14:textId="77777777" w:rsidR="00CB6D3C" w:rsidRPr="00DB7710" w:rsidRDefault="00CB6D3C" w:rsidP="00CB6D3C">
            <w:pPr>
              <w:tabs>
                <w:tab w:val="left" w:pos="0"/>
              </w:tabs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DB7710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Стаття 24. Умови застосування спрощеної процедури державної реєстрації</w:t>
            </w:r>
          </w:p>
          <w:p w14:paraId="7817BB05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DB7710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Стаття 25. Заява на проведення спрощеної процедури державної реєстрації</w:t>
            </w:r>
          </w:p>
          <w:p w14:paraId="416EB84F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26. Застосування інших положень цього Закону до гомеопатичних лікарських засобів</w:t>
            </w:r>
          </w:p>
          <w:p w14:paraId="4FA19487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III</w:t>
            </w:r>
          </w:p>
          <w:p w14:paraId="04CBD31E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 xml:space="preserve">СПЕЦІАЛЬНІ ПОЛОЖЕННЯ ЩОДО ТРАДИЦІЙНИХ РОСЛИННИХ ЛІКАРСЬКИХ ЗАСОБІВ </w:t>
            </w:r>
          </w:p>
          <w:p w14:paraId="1A6ED1BC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27. Критерії запровадження спрощеної процедури державної реєстрації</w:t>
            </w:r>
          </w:p>
          <w:p w14:paraId="2870D6BD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28. Заява на державну реєстрацію для отримання рішення про надання маркетингового дозволу на медичне застосування традиційного лікарського засобу</w:t>
            </w:r>
          </w:p>
          <w:p w14:paraId="0BEAE868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29. Додатки до заяви на державну реєстрацію для отримання рішення про надання маркетингового дозволу на медичне застосування традиційного лікарського засобу</w:t>
            </w:r>
          </w:p>
          <w:p w14:paraId="4DE285CB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30. Особливі умови прийняття рішення про надання маркетингових дозволів на медичне застосування традиційних лікарських засобів</w:t>
            </w:r>
          </w:p>
          <w:p w14:paraId="06339670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31. Підстави для прийняття рішення про відмову у наданні маркетингового дозволу на медичне застосування традиційного лікарського засобу</w:t>
            </w:r>
          </w:p>
          <w:p w14:paraId="041F0A6D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32. Перелік рослинних субстанцій, препаратів та їх комбінацій, що використовуються в традиційних лікарських засобах</w:t>
            </w:r>
          </w:p>
          <w:p w14:paraId="35DFB2DE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33. Спеціальні правила розміщення на ринку традиційних лікарських засобів</w:t>
            </w:r>
          </w:p>
          <w:p w14:paraId="61DDBC1F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34. Розробка та затвердження монографій для рослинних препаратів</w:t>
            </w:r>
          </w:p>
          <w:p w14:paraId="1286EA6D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35. Загальний звіт</w:t>
            </w:r>
          </w:p>
          <w:p w14:paraId="5CDC000F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IV</w:t>
            </w:r>
          </w:p>
          <w:p w14:paraId="7EFB1C95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СПЕЦІАЛЬНІ ПОЛОЖЕННЯ ЩОДО ПЕДІАТРИЧНИХ, ЛІКАРСЬКИХ ЗАСОБІВ ПРОГРЕСИВНОЇ ТЕРАПІЇ ТА ОРФАННИХ ЛІКАРСЬКИХ ЗАСОБІВ</w:t>
            </w:r>
          </w:p>
          <w:p w14:paraId="028477DE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36. Особливості розміщення на ринку педіатричних лікарських засобів</w:t>
            </w:r>
          </w:p>
          <w:p w14:paraId="2EF73D51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37. Особливості розміщення на ринку лікарських засобів прогресивної терапії</w:t>
            </w:r>
          </w:p>
          <w:p w14:paraId="5DF812B6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38. Особливості розміщення на ринку орфанних лікарських засобів</w:t>
            </w:r>
          </w:p>
          <w:p w14:paraId="10F2A923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V</w:t>
            </w:r>
          </w:p>
          <w:p w14:paraId="484F4F19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lastRenderedPageBreak/>
              <w:t>ПРОЦЕДУРИ, ЩО СТОСУЮТЬСЯ ПРИЙНЯТТЯ РІШЕННЯ ПРО НАДАННЯ МАРКЕТИНГОВОГО ДОЗВОЛУ НА МЕДИЧНЕ ЗАСТОСУВАННЯ ЛІКАРСЬКОГО ЗАСОБУ</w:t>
            </w:r>
          </w:p>
          <w:p w14:paraId="259A5271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39. Строк державної реєстрації для прийняття рішення про надання маркетингового дозволу на медичне застосування лікарського засобу</w:t>
            </w:r>
          </w:p>
          <w:p w14:paraId="2C598328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40. Спеціальні строки державної реєстрації для прийняття рішення про надання маркетингового дозволу на медичне застосування лікарського засобу</w:t>
            </w:r>
          </w:p>
          <w:p w14:paraId="010961AA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41. Проведення експертизи поданих матеріалів реєстраційного досьє</w:t>
            </w:r>
          </w:p>
          <w:p w14:paraId="5FF458D9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42. Державний нагляд (контроль) за маркетинговими дозволами на медичне застосування лікарських засобів</w:t>
            </w:r>
          </w:p>
          <w:p w14:paraId="3C016F79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43. Правила щодо оприлюднення інформації про маркетингові дозволи на медичне застосування лікарських засобів</w:t>
            </w:r>
          </w:p>
          <w:p w14:paraId="1E1E56D1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44. Умови надання маркетингового дозволу на медичне застосування лікарського засобу</w:t>
            </w:r>
          </w:p>
          <w:p w14:paraId="0CF54BF2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45. Вимоги до системи управління ризиками власників маркетингових дозволів на медичне застосування лікарських засобів</w:t>
            </w:r>
          </w:p>
          <w:p w14:paraId="396F4959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46. Обов’язки власника маркетингового дозволу на медичне застосування лікарського засобу</w:t>
            </w:r>
          </w:p>
          <w:p w14:paraId="7D5DAB47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47. Поточна звітність власника маркетингового дозволу на медичне застосування лікарського засобу</w:t>
            </w:r>
          </w:p>
          <w:p w14:paraId="0D80BBBB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48. Державний моніторинг виконання умов цього Закону власниками маркетингових дозволів на медичне застосування лікарського засобу</w:t>
            </w:r>
          </w:p>
          <w:p w14:paraId="1EAEAF01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49. Строк дії маркетингового дозволу на медичне застосування лікарського засобу</w:t>
            </w:r>
          </w:p>
          <w:p w14:paraId="2E7C8A70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50. Відповідальність власника маркетингового дозволу на медичне застосування лікарського засобу , виробника та імпортера лікарського засобу</w:t>
            </w:r>
          </w:p>
          <w:p w14:paraId="7AD7B2B1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51. Підстави для прийняття рішення про відмову у наданні маркетингового дозволу на медичне застосування лікарського засобу</w:t>
            </w:r>
          </w:p>
          <w:p w14:paraId="3FEF1F7F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52. Процедура державної реєстрації під зобов’язання</w:t>
            </w:r>
          </w:p>
          <w:p w14:paraId="539813E4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53. Окрема процедура державної реєстрації лікарських засобів за договором про взаємне визнання</w:t>
            </w:r>
          </w:p>
          <w:p w14:paraId="0C3FF9FB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54. Внесення змін до матеріалів реєстраційного досьє</w:t>
            </w:r>
          </w:p>
          <w:p w14:paraId="0D65D818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55. Припинення дії маркетингового дозволу на медичне застосування лікарського засобу</w:t>
            </w:r>
          </w:p>
          <w:p w14:paraId="171FD641" w14:textId="77777777" w:rsidR="00CB6D3C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56. Правовий режим інформації, що міститься в матеріалах реєстраційного досьє</w:t>
            </w:r>
          </w:p>
          <w:p w14:paraId="350A9D2B" w14:textId="61D8B65A" w:rsidR="00555D02" w:rsidRPr="00DB7710" w:rsidRDefault="00CB6D3C" w:rsidP="00CB6D3C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57. Ексклюзивність даних матеріалів реєстраційного досьє</w:t>
            </w:r>
          </w:p>
        </w:tc>
        <w:tc>
          <w:tcPr>
            <w:tcW w:w="7900" w:type="dxa"/>
          </w:tcPr>
          <w:p w14:paraId="109E201F" w14:textId="737F113F" w:rsidR="000D2FE5" w:rsidRPr="00DB7710" w:rsidRDefault="000D2FE5" w:rsidP="000D2FE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lastRenderedPageBreak/>
              <w:t>TITLE III PLACING ON THE MARKET</w:t>
            </w:r>
          </w:p>
          <w:p w14:paraId="1D42F046" w14:textId="77777777" w:rsidR="000D2FE5" w:rsidRPr="00DB7710" w:rsidRDefault="000D2FE5" w:rsidP="000D2FE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/>
              </w:rPr>
              <w:t>CHAPTER 1</w:t>
            </w:r>
          </w:p>
          <w:p w14:paraId="2C086AF3" w14:textId="77777777" w:rsidR="000D2FE5" w:rsidRPr="00DB7710" w:rsidRDefault="000D2FE5" w:rsidP="000D2FE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/>
              </w:rPr>
              <w:t>Marketing authorization</w:t>
            </w:r>
          </w:p>
          <w:p w14:paraId="59FBA49F" w14:textId="547F7D58" w:rsidR="000D2FE5" w:rsidRPr="00DB7710" w:rsidRDefault="000D2FE5" w:rsidP="000D2FE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Article 6</w:t>
            </w:r>
          </w:p>
          <w:p w14:paraId="39F8877D" w14:textId="1675813C" w:rsidR="000D2FE5" w:rsidRPr="00DB7710" w:rsidRDefault="000D2FE5" w:rsidP="000D2FE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Article 7</w:t>
            </w:r>
          </w:p>
          <w:p w14:paraId="34EB9431" w14:textId="38AC9485" w:rsidR="000D2FE5" w:rsidRPr="00DB7710" w:rsidRDefault="000D2FE5" w:rsidP="000D2FE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Article 8</w:t>
            </w:r>
          </w:p>
          <w:p w14:paraId="4FCA87F6" w14:textId="554C7948" w:rsidR="000D2FE5" w:rsidRPr="00DB7710" w:rsidRDefault="000D2FE5" w:rsidP="000D2FE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Article 9</w:t>
            </w:r>
          </w:p>
          <w:p w14:paraId="02BF8313" w14:textId="77777777" w:rsidR="00555D02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10</w:t>
            </w:r>
          </w:p>
          <w:p w14:paraId="6018ABC4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10a</w:t>
            </w:r>
          </w:p>
          <w:p w14:paraId="72398053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lastRenderedPageBreak/>
              <w:t>Article 10b</w:t>
            </w:r>
          </w:p>
          <w:p w14:paraId="69CCCA69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10c</w:t>
            </w:r>
          </w:p>
          <w:p w14:paraId="4A21B0D0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11</w:t>
            </w:r>
          </w:p>
          <w:p w14:paraId="3B0945BB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</w:t>
            </w:r>
            <w:r w:rsidRPr="00DB7710">
              <w:rPr>
                <w:bCs/>
                <w:sz w:val="26"/>
                <w:szCs w:val="26"/>
                <w:lang w:val="uk-UA"/>
              </w:rPr>
              <w:t>2</w:t>
            </w:r>
          </w:p>
          <w:p w14:paraId="3766ECD4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261C80B0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3C79ECC0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3B34119F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0348867E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4083C94B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6EE1D7A1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2C152235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1AE24D5F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148728E3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2B3E781A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03150C45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47E2EE39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225B4212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/>
                <w:i/>
                <w:iCs/>
                <w:sz w:val="26"/>
                <w:szCs w:val="26"/>
                <w:lang w:val="en-GB"/>
              </w:rPr>
            </w:pPr>
            <w:r w:rsidRPr="00DB7710">
              <w:rPr>
                <w:b/>
                <w:i/>
                <w:iCs/>
                <w:sz w:val="26"/>
                <w:szCs w:val="26"/>
                <w:lang w:val="en-GB"/>
              </w:rPr>
              <w:t>CHAPTER 2</w:t>
            </w:r>
          </w:p>
          <w:p w14:paraId="220283FC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/>
                <w:i/>
                <w:iCs/>
                <w:sz w:val="26"/>
                <w:szCs w:val="26"/>
                <w:lang w:val="en-GB"/>
              </w:rPr>
            </w:pPr>
            <w:r w:rsidRPr="00DB7710">
              <w:rPr>
                <w:b/>
                <w:i/>
                <w:iCs/>
                <w:sz w:val="26"/>
                <w:szCs w:val="26"/>
                <w:lang w:val="en-GB"/>
              </w:rPr>
              <w:t>Specific provisions applicable to homeopathic medicinal products</w:t>
            </w:r>
          </w:p>
          <w:p w14:paraId="432784D3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13</w:t>
            </w:r>
          </w:p>
          <w:p w14:paraId="63D7537A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14</w:t>
            </w:r>
          </w:p>
          <w:p w14:paraId="28EAAC65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15</w:t>
            </w:r>
          </w:p>
          <w:p w14:paraId="539AD981" w14:textId="77777777" w:rsidR="000D2FE5" w:rsidRPr="00DB7710" w:rsidRDefault="000D2FE5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</w:t>
            </w:r>
          </w:p>
          <w:p w14:paraId="1D1963AC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</w:p>
          <w:p w14:paraId="26716DA3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</w:p>
          <w:p w14:paraId="3F664DDD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</w:p>
          <w:p w14:paraId="0C420703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</w:p>
          <w:p w14:paraId="799E6435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</w:p>
          <w:p w14:paraId="62559720" w14:textId="77777777" w:rsidR="00CB5861" w:rsidRPr="00DB7710" w:rsidRDefault="00CB5861" w:rsidP="00CB58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/>
              </w:rPr>
              <w:t>CHAPTER 2a</w:t>
            </w:r>
          </w:p>
          <w:p w14:paraId="0893A482" w14:textId="77777777" w:rsidR="00CB5861" w:rsidRPr="00DB7710" w:rsidRDefault="00CB5861" w:rsidP="00CB58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GB"/>
              </w:rPr>
              <w:t>Specific provisions applicable to traditional herbal medicinal products</w:t>
            </w:r>
          </w:p>
          <w:p w14:paraId="231AC8B3" w14:textId="201DBC06" w:rsidR="00CB5861" w:rsidRPr="00DB7710" w:rsidRDefault="00CB5861" w:rsidP="00CB58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6"/>
                <w:szCs w:val="26"/>
                <w:lang w:val="en-GB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>Article 16a</w:t>
            </w:r>
          </w:p>
          <w:p w14:paraId="480590BF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16b</w:t>
            </w:r>
          </w:p>
          <w:p w14:paraId="2A837B1C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lastRenderedPageBreak/>
              <w:t>Article 16c</w:t>
            </w:r>
          </w:p>
          <w:p w14:paraId="5684D093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16d</w:t>
            </w:r>
          </w:p>
          <w:p w14:paraId="0DBFD1DF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16e</w:t>
            </w:r>
          </w:p>
          <w:p w14:paraId="35A3B3D7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16f</w:t>
            </w:r>
          </w:p>
          <w:p w14:paraId="426A7A82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16g</w:t>
            </w:r>
          </w:p>
          <w:p w14:paraId="32114424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16h</w:t>
            </w:r>
          </w:p>
          <w:p w14:paraId="2A0123E7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16i</w:t>
            </w:r>
          </w:p>
          <w:p w14:paraId="72B15DF8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4EFFED39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6B025185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0112C5A0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161919B8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7B426AB7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5F7073DF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1A429C00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01565688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513F131F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13C9CE7D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59903D76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525E9FE7" w14:textId="77777777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33690BFD" w14:textId="24F7137E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-</w:t>
            </w:r>
          </w:p>
          <w:p w14:paraId="35B39760" w14:textId="45C3061B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65CE178B" w14:textId="2E6A1241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364B0A86" w14:textId="77DF9862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57E5E268" w14:textId="292BA4E5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0A61BB5D" w14:textId="625D8DEA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3A1A2D83" w14:textId="1950DCD3" w:rsidR="00CB5861" w:rsidRPr="00DB7710" w:rsidRDefault="00CB5861" w:rsidP="000D2FE5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4E344326" w14:textId="4600E0FF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2AC46876" w14:textId="4BE837D4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26B2AC5D" w14:textId="3220D7DA" w:rsidR="00CB5861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31059206" w14:textId="77777777" w:rsidR="001770F6" w:rsidRPr="00DB7710" w:rsidRDefault="001770F6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</w:p>
          <w:p w14:paraId="0C8A78F8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/>
                <w:i/>
                <w:iCs/>
                <w:sz w:val="26"/>
                <w:szCs w:val="26"/>
                <w:lang w:val="en-US"/>
              </w:rPr>
            </w:pPr>
            <w:r w:rsidRPr="00DB7710">
              <w:rPr>
                <w:b/>
                <w:i/>
                <w:iCs/>
                <w:sz w:val="26"/>
                <w:szCs w:val="26"/>
                <w:lang w:val="en-US"/>
              </w:rPr>
              <w:t>CHAPTER 3</w:t>
            </w:r>
          </w:p>
          <w:p w14:paraId="374F71C0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/>
                <w:i/>
                <w:iCs/>
                <w:sz w:val="26"/>
                <w:szCs w:val="26"/>
                <w:lang w:val="en-US"/>
              </w:rPr>
            </w:pPr>
            <w:r w:rsidRPr="00DB7710">
              <w:rPr>
                <w:b/>
                <w:i/>
                <w:iCs/>
                <w:sz w:val="26"/>
                <w:szCs w:val="26"/>
                <w:lang w:val="en-US"/>
              </w:rPr>
              <w:lastRenderedPageBreak/>
              <w:t>Procedures relevant to the marketing authorization</w:t>
            </w:r>
          </w:p>
          <w:p w14:paraId="0AFB33D2" w14:textId="7DCB9A4E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17</w:t>
            </w:r>
          </w:p>
          <w:p w14:paraId="2CDF1C0B" w14:textId="5C1FC339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18</w:t>
            </w:r>
          </w:p>
          <w:p w14:paraId="590DD337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19</w:t>
            </w:r>
          </w:p>
          <w:p w14:paraId="674E3870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20</w:t>
            </w:r>
          </w:p>
          <w:p w14:paraId="2CB99279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21</w:t>
            </w:r>
          </w:p>
          <w:p w14:paraId="096208F5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21a</w:t>
            </w:r>
          </w:p>
          <w:p w14:paraId="25F4C14B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22</w:t>
            </w:r>
          </w:p>
          <w:p w14:paraId="247E3AA6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22a</w:t>
            </w:r>
          </w:p>
          <w:p w14:paraId="199CC6C0" w14:textId="43792AFD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22b</w:t>
            </w:r>
          </w:p>
          <w:p w14:paraId="1A730933" w14:textId="1C53C239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22c</w:t>
            </w:r>
          </w:p>
          <w:p w14:paraId="4A2C45A7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23</w:t>
            </w:r>
          </w:p>
          <w:p w14:paraId="56B9043A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23a</w:t>
            </w:r>
          </w:p>
          <w:p w14:paraId="0F18D6F4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23b</w:t>
            </w:r>
          </w:p>
          <w:p w14:paraId="24BEADC6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24</w:t>
            </w:r>
          </w:p>
          <w:p w14:paraId="6C0A3823" w14:textId="2E315AF8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25</w:t>
            </w:r>
          </w:p>
          <w:p w14:paraId="0377D334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26</w:t>
            </w:r>
          </w:p>
          <w:p w14:paraId="7CB0CF6F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27</w:t>
            </w:r>
          </w:p>
          <w:p w14:paraId="177C9C3A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/>
                <w:i/>
                <w:iCs/>
                <w:sz w:val="26"/>
                <w:szCs w:val="26"/>
                <w:lang w:val="en-US"/>
              </w:rPr>
            </w:pPr>
            <w:r w:rsidRPr="00DB7710">
              <w:rPr>
                <w:b/>
                <w:i/>
                <w:iCs/>
                <w:sz w:val="26"/>
                <w:szCs w:val="26"/>
                <w:lang w:val="en-US"/>
              </w:rPr>
              <w:t>CHAPTER 4</w:t>
            </w:r>
          </w:p>
          <w:p w14:paraId="228208C1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/>
                <w:i/>
                <w:iCs/>
                <w:sz w:val="26"/>
                <w:szCs w:val="26"/>
                <w:lang w:val="en-US"/>
              </w:rPr>
            </w:pPr>
            <w:r w:rsidRPr="00DB7710">
              <w:rPr>
                <w:b/>
                <w:i/>
                <w:iCs/>
                <w:sz w:val="26"/>
                <w:szCs w:val="26"/>
                <w:lang w:val="en-US"/>
              </w:rPr>
              <w:t>Mutual recognition and decentralised procedure</w:t>
            </w:r>
          </w:p>
          <w:p w14:paraId="0BF95443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28</w:t>
            </w:r>
          </w:p>
          <w:p w14:paraId="328CC1CA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29</w:t>
            </w:r>
          </w:p>
          <w:p w14:paraId="7617E2AC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30</w:t>
            </w:r>
          </w:p>
          <w:p w14:paraId="589BABA8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31</w:t>
            </w:r>
          </w:p>
          <w:p w14:paraId="09A2851C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32</w:t>
            </w:r>
          </w:p>
          <w:p w14:paraId="6010A7C5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33</w:t>
            </w:r>
          </w:p>
          <w:p w14:paraId="5FCD495D" w14:textId="77777777" w:rsidR="00CB5861" w:rsidRPr="00DB7710" w:rsidRDefault="00CB586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34</w:t>
            </w:r>
          </w:p>
          <w:p w14:paraId="143E1C08" w14:textId="26F63B0E" w:rsidR="00805021" w:rsidRPr="00DB7710" w:rsidRDefault="0080502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35</w:t>
            </w:r>
          </w:p>
          <w:p w14:paraId="4F4458EF" w14:textId="3E70A388" w:rsidR="00805021" w:rsidRPr="00DB7710" w:rsidRDefault="0080502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36</w:t>
            </w:r>
          </w:p>
          <w:p w14:paraId="023E7D57" w14:textId="4A355745" w:rsidR="00805021" w:rsidRPr="00DB7710" w:rsidRDefault="0080502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37</w:t>
            </w:r>
          </w:p>
          <w:p w14:paraId="7B61C083" w14:textId="59A02E78" w:rsidR="00805021" w:rsidRPr="00DB7710" w:rsidRDefault="0080502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38</w:t>
            </w:r>
          </w:p>
          <w:p w14:paraId="6BCBECAF" w14:textId="2D78F43A" w:rsidR="00805021" w:rsidRPr="00DB7710" w:rsidRDefault="00805021" w:rsidP="00CB5861">
            <w:pPr>
              <w:pStyle w:val="a5"/>
              <w:spacing w:before="0" w:beforeAutospacing="0" w:after="0" w:afterAutospacing="0"/>
              <w:ind w:firstLine="176"/>
              <w:jc w:val="both"/>
              <w:rPr>
                <w:bCs/>
                <w:sz w:val="26"/>
                <w:szCs w:val="26"/>
                <w:lang w:val="en-US"/>
              </w:rPr>
            </w:pPr>
            <w:r w:rsidRPr="00DB7710">
              <w:rPr>
                <w:bCs/>
                <w:sz w:val="26"/>
                <w:szCs w:val="26"/>
                <w:lang w:val="en-US"/>
              </w:rPr>
              <w:t>Article 39</w:t>
            </w:r>
          </w:p>
        </w:tc>
      </w:tr>
      <w:tr w:rsidR="003A0F2F" w:rsidRPr="00DB7710" w14:paraId="35AFA196" w14:textId="77777777" w:rsidTr="00822778">
        <w:tc>
          <w:tcPr>
            <w:tcW w:w="7900" w:type="dxa"/>
          </w:tcPr>
          <w:p w14:paraId="162B882C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lastRenderedPageBreak/>
              <w:t>Розділ IV ВИРОБНИЦТВО ТА ІМПОРТ</w:t>
            </w:r>
          </w:p>
          <w:p w14:paraId="1F13AF91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58. Ліцензія на виробництво (промислове), імпорт лікарських засобів</w:t>
            </w:r>
          </w:p>
          <w:p w14:paraId="51430E43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59. Ліцензійні умови</w:t>
            </w:r>
          </w:p>
          <w:p w14:paraId="14871036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60. Видача ліцензії на виробництво, імпорт лікарських засобів</w:t>
            </w:r>
          </w:p>
          <w:p w14:paraId="1C85A25D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61. Строк видачі ліцензії на виробництво, імпорт лікарських засобів</w:t>
            </w:r>
          </w:p>
          <w:p w14:paraId="4DB28CD8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62. Внесення змін до ліцензійної документації</w:t>
            </w:r>
          </w:p>
          <w:p w14:paraId="55D22A1C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63. Надання додаткової інформації</w:t>
            </w:r>
          </w:p>
          <w:p w14:paraId="7AA666BC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64. Обов'язки власника ліцензії на виробництво, імпорт лікарських засобів</w:t>
            </w:r>
          </w:p>
          <w:p w14:paraId="5CC0301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65. Виробництво діючих речовин (АФІ)</w:t>
            </w:r>
          </w:p>
          <w:p w14:paraId="54018426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66. Імпорт діючих речовин (АФІ)</w:t>
            </w:r>
          </w:p>
          <w:p w14:paraId="59377C92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67. Закріплення вимог належної виробничої практики (GMP) у законодавстві</w:t>
            </w:r>
          </w:p>
          <w:p w14:paraId="40B2D3EA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68. Заходи із забезпечення безпеки</w:t>
            </w:r>
          </w:p>
          <w:p w14:paraId="2778A0E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69. Уповноважена особа власника ліцензії на виробництво, імпорт лікарських засобів</w:t>
            </w:r>
          </w:p>
          <w:p w14:paraId="59C1C982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70. Кваліфікаційні вимоги до уповноваженої особи</w:t>
            </w:r>
          </w:p>
          <w:p w14:paraId="7A5C6946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71. Винятки з кваліфікаційних вимог</w:t>
            </w:r>
          </w:p>
          <w:p w14:paraId="463F9598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72. Незалежність уповноваженої особи</w:t>
            </w:r>
          </w:p>
          <w:p w14:paraId="105AC91B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73. Відповідальність уповноваженої особи</w:t>
            </w:r>
          </w:p>
          <w:p w14:paraId="05E1BEF8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74 Реєстрація суб'єктів господарювання, що здійснюють імпорт, виробництво та оптову торгівлю діючими речовинами</w:t>
            </w:r>
          </w:p>
          <w:p w14:paraId="4067DF60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75. Протидія обігу фальсифікованих лікарських засобів</w:t>
            </w:r>
          </w:p>
          <w:p w14:paraId="6BF130F3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76. Спеціальні вимоги до виробництва лікарських засобів, отриманих з крові та плазми людини</w:t>
            </w:r>
          </w:p>
          <w:p w14:paraId="0567A3B8" w14:textId="1EEFDAA2" w:rsidR="003A0F2F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77. Виробництво (виготовлення) лікарських засобів в умовах аптеки</w:t>
            </w:r>
          </w:p>
        </w:tc>
        <w:tc>
          <w:tcPr>
            <w:tcW w:w="7900" w:type="dxa"/>
          </w:tcPr>
          <w:p w14:paraId="6CB689EB" w14:textId="0C431A94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sz w:val="26"/>
                <w:szCs w:val="26"/>
                <w:lang w:val="uk-UA"/>
              </w:rPr>
            </w:pPr>
            <w:r w:rsidRPr="00DB7710">
              <w:rPr>
                <w:b/>
                <w:sz w:val="26"/>
                <w:szCs w:val="26"/>
                <w:lang w:val="uk-UA"/>
              </w:rPr>
              <w:lastRenderedPageBreak/>
              <w:t>TITLE IV</w:t>
            </w:r>
            <w:r w:rsidRPr="00DB7710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B7710">
              <w:rPr>
                <w:b/>
                <w:sz w:val="26"/>
                <w:szCs w:val="26"/>
                <w:lang w:val="uk-UA"/>
              </w:rPr>
              <w:t>MANUFACTURE AND IMPORTATION</w:t>
            </w:r>
          </w:p>
          <w:p w14:paraId="346E0A2E" w14:textId="77777777" w:rsidR="001857F8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40</w:t>
            </w:r>
          </w:p>
          <w:p w14:paraId="5DE5AB7B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41</w:t>
            </w:r>
          </w:p>
          <w:p w14:paraId="59EEC6CE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42</w:t>
            </w:r>
          </w:p>
          <w:p w14:paraId="0365A59A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43</w:t>
            </w:r>
          </w:p>
          <w:p w14:paraId="796C668A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44</w:t>
            </w:r>
          </w:p>
          <w:p w14:paraId="6892703D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45</w:t>
            </w:r>
          </w:p>
          <w:p w14:paraId="7797F622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46</w:t>
            </w:r>
          </w:p>
          <w:p w14:paraId="651A0C89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46a</w:t>
            </w:r>
          </w:p>
          <w:p w14:paraId="4C8D5C62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46b</w:t>
            </w:r>
          </w:p>
          <w:p w14:paraId="224A63C6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47</w:t>
            </w:r>
          </w:p>
          <w:p w14:paraId="2E6C3DEF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47a</w:t>
            </w:r>
          </w:p>
          <w:p w14:paraId="5BC5C527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48</w:t>
            </w:r>
          </w:p>
          <w:p w14:paraId="7939C90D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49</w:t>
            </w:r>
          </w:p>
          <w:p w14:paraId="2DE00512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50</w:t>
            </w:r>
          </w:p>
          <w:p w14:paraId="5E7D25C7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51</w:t>
            </w:r>
          </w:p>
          <w:p w14:paraId="72D117F3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52a</w:t>
            </w:r>
          </w:p>
          <w:p w14:paraId="0BF36CA2" w14:textId="77777777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52b</w:t>
            </w:r>
          </w:p>
          <w:p w14:paraId="0753D218" w14:textId="0E7E52F9" w:rsidR="00805021" w:rsidRPr="00DB7710" w:rsidRDefault="00805021" w:rsidP="00805021">
            <w:pPr>
              <w:pStyle w:val="a5"/>
              <w:spacing w:before="0" w:beforeAutospacing="0" w:after="0" w:afterAutospacing="0"/>
              <w:ind w:firstLine="284"/>
              <w:jc w:val="both"/>
              <w:rPr>
                <w:bCs/>
                <w:sz w:val="26"/>
                <w:szCs w:val="26"/>
                <w:lang w:val="en-GB"/>
              </w:rPr>
            </w:pPr>
            <w:r w:rsidRPr="00DB7710">
              <w:rPr>
                <w:bCs/>
                <w:sz w:val="26"/>
                <w:szCs w:val="26"/>
                <w:lang w:val="en-GB"/>
              </w:rPr>
              <w:t>Article 53</w:t>
            </w:r>
          </w:p>
        </w:tc>
      </w:tr>
      <w:tr w:rsidR="0006113B" w:rsidRPr="00DB7710" w14:paraId="2133DEBE" w14:textId="77777777" w:rsidTr="00822778">
        <w:tc>
          <w:tcPr>
            <w:tcW w:w="7900" w:type="dxa"/>
          </w:tcPr>
          <w:p w14:paraId="4AF1CCE1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V МАРКУВАННЯ ТА ЛИСТОК-ВКЛАДИШ</w:t>
            </w:r>
          </w:p>
          <w:p w14:paraId="394DB3DF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78. Маркування вторинної упаковки лікарського засобу</w:t>
            </w:r>
          </w:p>
          <w:p w14:paraId="74FA4D92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79. Інструменти та заходи, спрямовані на убезпечення обігу лікарського засобу</w:t>
            </w:r>
          </w:p>
          <w:p w14:paraId="417ED8E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80. Маркування первинної упаковки лікарського засобу</w:t>
            </w:r>
          </w:p>
          <w:p w14:paraId="3A53909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81. Захист прав людей із обмеженими можливостями</w:t>
            </w:r>
          </w:p>
          <w:p w14:paraId="32DF1B6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82. Особливі вимоги до маркування лікарського засобу</w:t>
            </w:r>
          </w:p>
          <w:p w14:paraId="342AB50E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83. Листок-вкладиш в упаковку</w:t>
            </w:r>
          </w:p>
          <w:p w14:paraId="657098E0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84. Інформація, що міститься в листку-вкладиші</w:t>
            </w:r>
          </w:p>
          <w:p w14:paraId="2BA5AB7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85. Перевірка правильності маркування та формування листка-вкладиша</w:t>
            </w:r>
          </w:p>
          <w:p w14:paraId="0DAF786E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86. Символи та піктограми</w:t>
            </w:r>
          </w:p>
          <w:p w14:paraId="1FABCE08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87. Мова маркування</w:t>
            </w:r>
          </w:p>
          <w:p w14:paraId="1D0BD9FB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88. Тимчасове зупинення маркетингового дозволу на медичне застосування лікарського засобу</w:t>
            </w:r>
          </w:p>
          <w:p w14:paraId="6AB63A30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89. Детальні рекомендації</w:t>
            </w:r>
          </w:p>
          <w:p w14:paraId="6BE332A1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90. Маркування радіофармацевтичних лікарських засобів</w:t>
            </w:r>
          </w:p>
          <w:p w14:paraId="061A399C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91. Листок-вкладиш в упаковку з радіофармацевтичним лікарським засобом</w:t>
            </w:r>
          </w:p>
          <w:p w14:paraId="3720D78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92. Маркування гомеопатичних лікарських засобів</w:t>
            </w:r>
          </w:p>
          <w:p w14:paraId="7AA08216" w14:textId="01F96FA6" w:rsidR="00807427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93. Зміст маркування гомеопатичних лікарських засобів</w:t>
            </w:r>
          </w:p>
        </w:tc>
        <w:tc>
          <w:tcPr>
            <w:tcW w:w="7900" w:type="dxa"/>
          </w:tcPr>
          <w:p w14:paraId="00F7A832" w14:textId="36C7EE1B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V LABELLING AND PACKAGE LEAFLET</w:t>
            </w:r>
          </w:p>
          <w:p w14:paraId="1F05A2DD" w14:textId="77777777" w:rsidR="00807427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54</w:t>
            </w:r>
          </w:p>
          <w:p w14:paraId="7300891B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54a</w:t>
            </w:r>
          </w:p>
          <w:p w14:paraId="194E63E4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55</w:t>
            </w:r>
          </w:p>
          <w:p w14:paraId="2CBDFE4B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56</w:t>
            </w:r>
          </w:p>
          <w:p w14:paraId="659EF36F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56a</w:t>
            </w:r>
          </w:p>
          <w:p w14:paraId="687AFE19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57</w:t>
            </w:r>
          </w:p>
          <w:p w14:paraId="3599016C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58</w:t>
            </w:r>
          </w:p>
          <w:p w14:paraId="26E61B68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59</w:t>
            </w:r>
          </w:p>
          <w:p w14:paraId="0E395290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60</w:t>
            </w:r>
          </w:p>
          <w:p w14:paraId="6C1E294C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61</w:t>
            </w:r>
          </w:p>
          <w:p w14:paraId="4BF5DF24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62</w:t>
            </w:r>
          </w:p>
          <w:p w14:paraId="51C6DB08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63</w:t>
            </w:r>
          </w:p>
          <w:p w14:paraId="2C25FBC7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64</w:t>
            </w:r>
          </w:p>
          <w:p w14:paraId="20CFD7BD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65</w:t>
            </w:r>
          </w:p>
          <w:p w14:paraId="5E0CA5AD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66</w:t>
            </w:r>
          </w:p>
          <w:p w14:paraId="7C3FD2AD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67</w:t>
            </w:r>
          </w:p>
          <w:p w14:paraId="5EAD2DEF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68</w:t>
            </w:r>
          </w:p>
          <w:p w14:paraId="06E75F7C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69</w:t>
            </w:r>
          </w:p>
          <w:p w14:paraId="7AAB85AB" w14:textId="0C612C26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</w:tc>
      </w:tr>
      <w:tr w:rsidR="0006113B" w:rsidRPr="00DB7710" w14:paraId="3CA5596B" w14:textId="77777777" w:rsidTr="00822778">
        <w:tc>
          <w:tcPr>
            <w:tcW w:w="7900" w:type="dxa"/>
          </w:tcPr>
          <w:p w14:paraId="03BDA8DE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VI КЛАСИФІКАЦІЯ ЛІКАРСЬКИХ ЗАСОБІВ ТА ПОЛІТИКА ЇХ ЦІНОУТВОРЕННЯ</w:t>
            </w:r>
          </w:p>
          <w:p w14:paraId="1E040BD1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lastRenderedPageBreak/>
              <w:t>Глава 1</w:t>
            </w:r>
          </w:p>
          <w:p w14:paraId="1C460920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Класифікація лікарських засобів</w:t>
            </w:r>
          </w:p>
          <w:p w14:paraId="45D8CCF1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94. Рецептурні та безрецептурні лікарські засоби</w:t>
            </w:r>
          </w:p>
          <w:p w14:paraId="293B1BDC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95. Окремі підгрупи рецептурних лікарських засобів</w:t>
            </w:r>
          </w:p>
          <w:p w14:paraId="5BA88663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96. Безрецептурні лікарські засоби</w:t>
            </w:r>
          </w:p>
          <w:p w14:paraId="6B385808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97. Перелік лікарських засобів, що відпускаються за рецептом лікаря</w:t>
            </w:r>
          </w:p>
          <w:p w14:paraId="6B962377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98. Зміна категорії відпуску лікарського засобу</w:t>
            </w:r>
          </w:p>
          <w:p w14:paraId="79DB701B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99. Зміна категорії відпуску лікарського засобу на підставі даних доклінічних або клінічних досліджень</w:t>
            </w:r>
          </w:p>
          <w:p w14:paraId="7268C0F4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2</w:t>
            </w:r>
          </w:p>
          <w:p w14:paraId="37BF484D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Політика ціноутворення лікарських засобів</w:t>
            </w:r>
          </w:p>
          <w:p w14:paraId="40458EF5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100. Політика ціноутворення</w:t>
            </w:r>
          </w:p>
          <w:p w14:paraId="478A36CD" w14:textId="77777777" w:rsidR="006E42B0" w:rsidRPr="00DB7710" w:rsidRDefault="006E42B0" w:rsidP="006E42B0">
            <w:pPr>
              <w:tabs>
                <w:tab w:val="left" w:pos="2694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101. Сфери, на які поширюється Політика ціноутворення</w:t>
            </w:r>
          </w:p>
          <w:p w14:paraId="187B81D4" w14:textId="11E1BBE3" w:rsidR="0068507B" w:rsidRPr="00DB7710" w:rsidRDefault="0068507B" w:rsidP="006E42B0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419A638F" w14:textId="76FC1AEC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lastRenderedPageBreak/>
              <w:t>TITLE VI CLASSIFICATION OF MEDICINAL PRODUCTS</w:t>
            </w:r>
          </w:p>
          <w:p w14:paraId="43464404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70</w:t>
            </w:r>
          </w:p>
          <w:p w14:paraId="31E6398A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lastRenderedPageBreak/>
              <w:t>Article 71</w:t>
            </w:r>
          </w:p>
          <w:p w14:paraId="14BCD8ED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72</w:t>
            </w:r>
          </w:p>
          <w:p w14:paraId="36F9818C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73</w:t>
            </w:r>
          </w:p>
          <w:p w14:paraId="63602644" w14:textId="77777777" w:rsidR="0006113B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74</w:t>
            </w:r>
          </w:p>
          <w:p w14:paraId="4AAF3E34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74a</w:t>
            </w:r>
          </w:p>
          <w:p w14:paraId="6EC2E387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75</w:t>
            </w:r>
          </w:p>
          <w:p w14:paraId="183B8705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20F06F5C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140FC3C9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3922316A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55306527" w14:textId="6015B6D5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 w:eastAsia="ru-RU"/>
              </w:rPr>
              <w:t>Відсутні</w:t>
            </w:r>
          </w:p>
        </w:tc>
      </w:tr>
      <w:tr w:rsidR="0006113B" w:rsidRPr="00DB7710" w14:paraId="1168A1D6" w14:textId="77777777" w:rsidTr="00822778">
        <w:tc>
          <w:tcPr>
            <w:tcW w:w="7900" w:type="dxa"/>
          </w:tcPr>
          <w:p w14:paraId="0583EC37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lastRenderedPageBreak/>
              <w:t>Розділ VII ОПТОВА ТА РОЗДРІБНА ТОРГІВЛЯ ЛІКАРСЬКИМИ ЗАСОБАМИ</w:t>
            </w:r>
          </w:p>
          <w:p w14:paraId="3109B121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102. Лікарські засоби, що допускаються до продажу в Україні</w:t>
            </w:r>
          </w:p>
          <w:p w14:paraId="5BDD0CD6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103. Ліцензія на оптову та роздрібну торгівлю лікарськими засобами</w:t>
            </w:r>
          </w:p>
          <w:p w14:paraId="4A426361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104. Строк розгляду заяви на отримання ліцензії на оптову торгівлю</w:t>
            </w:r>
          </w:p>
          <w:p w14:paraId="6FEB60D1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105. Обов'язкові вимоги для отримання ліцензії на оптову торгівлю</w:t>
            </w:r>
          </w:p>
          <w:p w14:paraId="33EE374D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106. Обов'язки власника ліцензії на оптову торгівлю</w:t>
            </w:r>
          </w:p>
          <w:p w14:paraId="54CC44BC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107. Ліцензійна документація</w:t>
            </w:r>
          </w:p>
          <w:p w14:paraId="3B75D03E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108. Особливості оптової торгівлі наркотичними засобами, психотропними речовинами, прекурсорами і деякими видами лікарських засобів</w:t>
            </w:r>
          </w:p>
          <w:p w14:paraId="31C29C3D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109. Затвердження вимог належної практики дистрибуції</w:t>
            </w:r>
          </w:p>
          <w:p w14:paraId="11F08F1A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110. Вивезення (експорт) лікарських засобів</w:t>
            </w:r>
          </w:p>
          <w:p w14:paraId="54AEA21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111. Брокерство (діяльність агента) у сфері обігу лікарських засобів</w:t>
            </w:r>
          </w:p>
          <w:p w14:paraId="4A8D8820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112. Загальні вимоги до торгівлі лікарських засобів</w:t>
            </w:r>
          </w:p>
          <w:p w14:paraId="32AC14CF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113. Фармацевтична практика</w:t>
            </w:r>
          </w:p>
          <w:p w14:paraId="0EA7133B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114. Забезпечення населення лікарськими засобами на випадок стихійного лиха, катастроф, епідемічних захворювань</w:t>
            </w:r>
          </w:p>
          <w:p w14:paraId="473FA0AF" w14:textId="3A998398" w:rsidR="0068507B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115. Утилізація та знищення лікарських засобів</w:t>
            </w:r>
          </w:p>
        </w:tc>
        <w:tc>
          <w:tcPr>
            <w:tcW w:w="7900" w:type="dxa"/>
          </w:tcPr>
          <w:p w14:paraId="6913140A" w14:textId="2D629ACA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lastRenderedPageBreak/>
              <w:t>TITLE VII WHOLESALE DISTRIBUTION AND BROKERING OF MEDICINAL PRODUCTS</w:t>
            </w:r>
          </w:p>
          <w:p w14:paraId="34B8A668" w14:textId="77777777" w:rsidR="0068507B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76</w:t>
            </w:r>
          </w:p>
          <w:p w14:paraId="12C5018A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77</w:t>
            </w:r>
          </w:p>
          <w:p w14:paraId="49E72662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78</w:t>
            </w:r>
          </w:p>
          <w:p w14:paraId="4D1D9016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79</w:t>
            </w:r>
          </w:p>
          <w:p w14:paraId="67C764AD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80</w:t>
            </w:r>
          </w:p>
          <w:p w14:paraId="78339E03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81</w:t>
            </w:r>
          </w:p>
          <w:p w14:paraId="610A96FA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82</w:t>
            </w:r>
          </w:p>
          <w:p w14:paraId="2D2B12DF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83</w:t>
            </w:r>
          </w:p>
          <w:p w14:paraId="48FAF1C7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84</w:t>
            </w:r>
          </w:p>
          <w:p w14:paraId="3D66BC9C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85</w:t>
            </w:r>
          </w:p>
          <w:p w14:paraId="6805E8CB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85a</w:t>
            </w:r>
          </w:p>
          <w:p w14:paraId="172050C6" w14:textId="77777777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85b</w:t>
            </w:r>
          </w:p>
          <w:p w14:paraId="6F044219" w14:textId="6EA6FC0C" w:rsidR="00805021" w:rsidRPr="00DB7710" w:rsidRDefault="00805021" w:rsidP="0080502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</w:tc>
      </w:tr>
      <w:tr w:rsidR="0006113B" w:rsidRPr="00DB7710" w14:paraId="40C5CE8A" w14:textId="77777777" w:rsidTr="00822778">
        <w:tc>
          <w:tcPr>
            <w:tcW w:w="7900" w:type="dxa"/>
          </w:tcPr>
          <w:p w14:paraId="6D396BC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VIII ДИСТАНЦІЙНИЙ ПРОДАЖ НАСЕЛЕННЮ ЛІКАРСЬКИХ ЗАСОБІВ</w:t>
            </w:r>
          </w:p>
          <w:p w14:paraId="4EE85568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116. Правила дистанційної торгівлі лікарськими засобами</w:t>
            </w:r>
          </w:p>
          <w:p w14:paraId="422165E6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117. Інформування про дистанційний продаж лікарських засобів</w:t>
            </w:r>
          </w:p>
          <w:p w14:paraId="7563A67D" w14:textId="0EBB3E02" w:rsidR="00875FED" w:rsidRPr="00DB7710" w:rsidRDefault="00875FED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68750098" w14:textId="79973EAD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VIIA SALE AT A DISTANCE TO THE PUBLIC</w:t>
            </w:r>
          </w:p>
          <w:p w14:paraId="1FA4C58B" w14:textId="77777777" w:rsidR="0006113B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85c</w:t>
            </w:r>
          </w:p>
          <w:p w14:paraId="0AF6FFF3" w14:textId="11B08F18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85d</w:t>
            </w:r>
          </w:p>
        </w:tc>
      </w:tr>
      <w:tr w:rsidR="0006113B" w:rsidRPr="00DB7710" w14:paraId="09F1A45C" w14:textId="77777777" w:rsidTr="00822778">
        <w:tc>
          <w:tcPr>
            <w:tcW w:w="7900" w:type="dxa"/>
          </w:tcPr>
          <w:p w14:paraId="3084641B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IX РЕКЛАМА ЛІКАРСЬКИХ ЗАСОБІВ</w:t>
            </w:r>
          </w:p>
          <w:p w14:paraId="62013214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118. Сфера рекламування лікарських засобів</w:t>
            </w:r>
          </w:p>
          <w:p w14:paraId="62EB140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119. Текст реклами лікарського засобу</w:t>
            </w:r>
          </w:p>
          <w:p w14:paraId="628D6CC0" w14:textId="76406252" w:rsidR="0006113B" w:rsidRPr="00DB7710" w:rsidRDefault="0006113B" w:rsidP="00BA67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4A0C0A8E" w14:textId="51AEF251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VIII ADVERTISING</w:t>
            </w:r>
          </w:p>
          <w:p w14:paraId="054864A4" w14:textId="77777777" w:rsidR="000B7CCF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86</w:t>
            </w:r>
          </w:p>
          <w:p w14:paraId="4CE85647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87</w:t>
            </w:r>
          </w:p>
          <w:p w14:paraId="22E5A5D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88</w:t>
            </w:r>
          </w:p>
          <w:p w14:paraId="6691FF07" w14:textId="40FC1CB2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</w:tc>
      </w:tr>
      <w:tr w:rsidR="0006113B" w:rsidRPr="00DB7710" w14:paraId="0546330E" w14:textId="77777777" w:rsidTr="00822778">
        <w:tc>
          <w:tcPr>
            <w:tcW w:w="7900" w:type="dxa"/>
          </w:tcPr>
          <w:p w14:paraId="40467C50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X ІНФОРМАЦІЙНА ПОЛІТИКА</w:t>
            </w:r>
          </w:p>
          <w:p w14:paraId="6B1BDBA2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120. Інформація для осіб, уповноважених призначати або поширювати лікарський засіб</w:t>
            </w:r>
          </w:p>
          <w:p w14:paraId="26C5B623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121. Обмеження щодо інформування про лікарські засоби</w:t>
            </w:r>
          </w:p>
          <w:p w14:paraId="09E91FEE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122. Умови надання безкоштовних зразків лікарських засобів</w:t>
            </w:r>
          </w:p>
          <w:p w14:paraId="33F3675D" w14:textId="77777777" w:rsidR="00856EC8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123. Обов'язки власника маркетингового дозволу на медичне застосування лікарського засобу з надання інформації про лікарський засіб</w:t>
            </w:r>
          </w:p>
          <w:p w14:paraId="32504383" w14:textId="6F6C9740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6FCD1C32" w14:textId="33FFC381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VIIIa INFORMATION AND ADVERTISING</w:t>
            </w:r>
          </w:p>
          <w:p w14:paraId="5EE6EDE8" w14:textId="77777777" w:rsidR="0006113B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88a</w:t>
            </w:r>
          </w:p>
          <w:p w14:paraId="05CCDAE2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89</w:t>
            </w:r>
          </w:p>
          <w:p w14:paraId="67463D1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90</w:t>
            </w:r>
          </w:p>
          <w:p w14:paraId="0801FBD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91</w:t>
            </w:r>
          </w:p>
          <w:p w14:paraId="144E2DED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92</w:t>
            </w:r>
          </w:p>
          <w:p w14:paraId="4F36B6A0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93</w:t>
            </w:r>
          </w:p>
          <w:p w14:paraId="3EE8478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94</w:t>
            </w:r>
          </w:p>
          <w:p w14:paraId="60817982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95</w:t>
            </w:r>
          </w:p>
          <w:p w14:paraId="691DED1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96</w:t>
            </w:r>
          </w:p>
          <w:p w14:paraId="134C8FAB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97</w:t>
            </w:r>
          </w:p>
          <w:p w14:paraId="4C05AD99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98</w:t>
            </w:r>
          </w:p>
          <w:p w14:paraId="039D4D47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99</w:t>
            </w:r>
          </w:p>
          <w:p w14:paraId="4C3AC28B" w14:textId="180BC233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lastRenderedPageBreak/>
              <w:t>Article 100</w:t>
            </w:r>
          </w:p>
        </w:tc>
      </w:tr>
      <w:tr w:rsidR="00856EC8" w:rsidRPr="00DB7710" w14:paraId="0A8EE3E1" w14:textId="77777777" w:rsidTr="00822778">
        <w:tc>
          <w:tcPr>
            <w:tcW w:w="7900" w:type="dxa"/>
          </w:tcPr>
          <w:p w14:paraId="17755DE2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lastRenderedPageBreak/>
              <w:t>Розділ XI ФАРМАКОНАГЛЯД</w:t>
            </w:r>
          </w:p>
          <w:p w14:paraId="0C9F64EC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</w:t>
            </w:r>
          </w:p>
          <w:p w14:paraId="59EF7698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ЗАГАЛЬНІ ПОЛОЖЕННЯ</w:t>
            </w:r>
          </w:p>
          <w:p w14:paraId="52A57C49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124. Державне регулювання фармаконагляду</w:t>
            </w:r>
          </w:p>
          <w:p w14:paraId="319DD8E8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125. Завдання системи фармаконагляду</w:t>
            </w:r>
          </w:p>
          <w:p w14:paraId="0F9714B3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126. Обов’язки власника маркетингового дозволу на медичне застосування лікарського засобу у сфері фармаконагляду</w:t>
            </w:r>
          </w:p>
          <w:p w14:paraId="3201D764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127. Засади взаємодії учасників здійснення фармаконагляду</w:t>
            </w:r>
          </w:p>
          <w:p w14:paraId="0BB0F24B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II</w:t>
            </w:r>
          </w:p>
          <w:p w14:paraId="1E4BEE5B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ПРОЗОРІСТЬ І НАДАННЯ ПОВІДОМЛЕНЬ</w:t>
            </w:r>
          </w:p>
          <w:p w14:paraId="6203DAFE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128. Доступ до даних фармаконагляду</w:t>
            </w:r>
          </w:p>
          <w:p w14:paraId="48F53C7B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129. Розповсюдження інформації в сфері фармаконагляду</w:t>
            </w:r>
          </w:p>
          <w:p w14:paraId="031E1E58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III</w:t>
            </w:r>
          </w:p>
          <w:p w14:paraId="357EB969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РЕЄСТРАЦІЯ, НАДАННЯ ТА ОЦІНКА ДАНИХ ФАРМАКОНАГЛЯДУ</w:t>
            </w:r>
          </w:p>
          <w:p w14:paraId="599BC7C3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§1. Реєстрація та надання повідомлень про підозрювані побічні реакції</w:t>
            </w:r>
          </w:p>
          <w:p w14:paraId="484B73C8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130. Реєстрація та оцінка даних фармаконагляду власником маркетингового дозволу на медичне застосування лікарського засобу</w:t>
            </w:r>
          </w:p>
          <w:p w14:paraId="11A5A7BC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131. Збирання, реєстрація та оцінка даних фармаконагляду органом державного контролю</w:t>
            </w:r>
          </w:p>
          <w:p w14:paraId="1B20963D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§2. Періодично оновлювані звіти з безпеки</w:t>
            </w:r>
          </w:p>
          <w:p w14:paraId="4C306BD0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132. Періодично оновлювані звіти з безпеки лікарських засобів</w:t>
            </w:r>
          </w:p>
          <w:p w14:paraId="78A4F99A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133. Строки надання періодично оновлюваних звітів з безпеки лікарських засобів</w:t>
            </w:r>
          </w:p>
          <w:p w14:paraId="6C08907D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134. Оцінка періодично оновлюваних звітів з безпеки лікарських засобів</w:t>
            </w:r>
          </w:p>
          <w:p w14:paraId="1F9BFBE1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135. Звіт з оцінки періодично оновлюваних звітів з безпеки лікарських засобів</w:t>
            </w:r>
          </w:p>
          <w:p w14:paraId="3E1AB2F1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136. Результати оцінки періодично оновлюваних звітів з безпеки лікарського засобу</w:t>
            </w:r>
          </w:p>
          <w:p w14:paraId="214F96FA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137. Результати оцінки періодично оновлюваних звітів з безпеки кількох лікарських засобів</w:t>
            </w:r>
          </w:p>
          <w:p w14:paraId="055FBCFB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§3. Виявлення сигналу</w:t>
            </w:r>
          </w:p>
          <w:p w14:paraId="44E19996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138. Завдання органу державного контролю та власників маркетингових дозволів на медичне застосування лікарських засобів у рамках виявлення та менеджменту сигналу</w:t>
            </w:r>
          </w:p>
          <w:p w14:paraId="1DCDF65F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§4. Термінові заходи</w:t>
            </w:r>
          </w:p>
          <w:p w14:paraId="01715D0D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139. Термінові заходи – масштабний і дієвий інструмент мінімізації ризиків</w:t>
            </w:r>
          </w:p>
          <w:p w14:paraId="750B7A96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140. Організація проведення процедури «Термінові заходи»</w:t>
            </w:r>
          </w:p>
          <w:p w14:paraId="546AB58B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141. Порядок здійснення процедури «Термінові заходи»</w:t>
            </w:r>
          </w:p>
          <w:p w14:paraId="1CC36DD7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§5. Оприлюднення результатів оцінювань</w:t>
            </w:r>
          </w:p>
          <w:p w14:paraId="10598A81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142. Оприлюднення даних процедури «Термінові заходи»</w:t>
            </w:r>
          </w:p>
          <w:p w14:paraId="56232F95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IV</w:t>
            </w:r>
          </w:p>
          <w:p w14:paraId="1EE5543A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НАГЛЯД ЗА ПОСТМАРКЕТИНГОВИМИ ДОСЛІДЖЕННЯМИ БЕЗПЕКИ</w:t>
            </w:r>
          </w:p>
          <w:p w14:paraId="5EDCFA87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143. Постмаркетингові дослідження безпеки лікарських засобів</w:t>
            </w:r>
          </w:p>
          <w:p w14:paraId="5E83F57E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144. Протокол постмаркетингових досліджень безпеки лікарських засобів</w:t>
            </w:r>
          </w:p>
          <w:p w14:paraId="076DC48F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145. Зміна протоколу постмаркетингових досліджень безпеки лікарських засобів</w:t>
            </w:r>
          </w:p>
          <w:p w14:paraId="191A5700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146. Звітність за результатами постмаркетингових досліджень безпеки лікарських засобів</w:t>
            </w:r>
          </w:p>
          <w:p w14:paraId="2288658E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147. Оцінка результатів постмаркетингових досліджень безпеки лікарських засобів</w:t>
            </w:r>
          </w:p>
          <w:p w14:paraId="65ACC828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Глава V</w:t>
            </w:r>
          </w:p>
          <w:p w14:paraId="3087A2FD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 w:eastAsia="ru-RU"/>
              </w:rPr>
              <w:t>ІМПЛЕМЕНТАЦІЯ, ДЕЛЕГУВАННЯ І РЕГУЛЮВАННЯ</w:t>
            </w:r>
          </w:p>
          <w:p w14:paraId="5E84926F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148. Заходи з гармонізації нормативного забезпечення діяльності з фармаконагляду</w:t>
            </w:r>
          </w:p>
          <w:p w14:paraId="1EF293F4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149. Настанови щодо здійснення фармаконагляду</w:t>
            </w:r>
          </w:p>
          <w:p w14:paraId="5B22B322" w14:textId="77777777" w:rsidR="006E42B0" w:rsidRPr="00DB7710" w:rsidRDefault="006E42B0" w:rsidP="006E42B0">
            <w:pPr>
              <w:tabs>
                <w:tab w:val="left" w:pos="768"/>
              </w:tabs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150. Звіт про виконання завдань з фармаконагляду</w:t>
            </w:r>
          </w:p>
          <w:p w14:paraId="7BC6F49F" w14:textId="756FA69C" w:rsidR="00906783" w:rsidRPr="00DB7710" w:rsidRDefault="00906783" w:rsidP="006E42B0">
            <w:pPr>
              <w:spacing w:after="0" w:line="240" w:lineRule="auto"/>
              <w:ind w:firstLine="34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6EF5F2C5" w14:textId="123366CF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lastRenderedPageBreak/>
              <w:t>TITLE IX PHARMACOVIGILANCE</w:t>
            </w:r>
          </w:p>
          <w:p w14:paraId="6C6F56A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CHAPTER 1</w:t>
            </w:r>
          </w:p>
          <w:p w14:paraId="065CB591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General provisions</w:t>
            </w:r>
          </w:p>
          <w:p w14:paraId="5157661C" w14:textId="77777777" w:rsidR="00906783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101</w:t>
            </w:r>
          </w:p>
          <w:p w14:paraId="43072E71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102</w:t>
            </w:r>
          </w:p>
          <w:p w14:paraId="04E28FD5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103</w:t>
            </w:r>
          </w:p>
          <w:p w14:paraId="670E3AD3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104</w:t>
            </w:r>
          </w:p>
          <w:p w14:paraId="3CE1D6D0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104a</w:t>
            </w:r>
          </w:p>
          <w:p w14:paraId="1033FE0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105</w:t>
            </w:r>
          </w:p>
          <w:p w14:paraId="41F403F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CHAPTER 2</w:t>
            </w:r>
          </w:p>
          <w:p w14:paraId="49495706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Transparency and communications</w:t>
            </w:r>
          </w:p>
          <w:p w14:paraId="1DB5BCE4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106</w:t>
            </w:r>
          </w:p>
          <w:p w14:paraId="6A11E2EE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106a</w:t>
            </w:r>
          </w:p>
          <w:p w14:paraId="324FD05E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CHAPTER 3</w:t>
            </w:r>
          </w:p>
          <w:p w14:paraId="3AF96251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Recording, reporting and assessment of pharmacovigilance data</w:t>
            </w:r>
          </w:p>
          <w:p w14:paraId="310F06D1" w14:textId="2CCB118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  <w:t>S e c t i o n 1  R e c o r d i n g a n d r e p o r t i n g o f s u s p e c t e d a d v e r s e r e a c t i o n s</w:t>
            </w:r>
          </w:p>
          <w:p w14:paraId="5C85DAC9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</w:t>
            </w:r>
          </w:p>
          <w:p w14:paraId="3F41A16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107a</w:t>
            </w:r>
          </w:p>
          <w:p w14:paraId="51DFA1C4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3F677481" w14:textId="23314368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33F3BE74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7CC93756" w14:textId="056C34C6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  <w:t>S e c t i o n 2  P e r i o d i c  s a f e t y   u p d a t e  r e p o r t s</w:t>
            </w:r>
          </w:p>
          <w:p w14:paraId="0EAB2E9B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107b</w:t>
            </w:r>
          </w:p>
          <w:p w14:paraId="55B9A1C1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107c</w:t>
            </w:r>
          </w:p>
          <w:p w14:paraId="40F437A2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107d</w:t>
            </w:r>
          </w:p>
          <w:p w14:paraId="6A96893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107e</w:t>
            </w:r>
          </w:p>
          <w:p w14:paraId="3AB6581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107f</w:t>
            </w:r>
          </w:p>
          <w:p w14:paraId="71D180D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107g</w:t>
            </w:r>
          </w:p>
          <w:p w14:paraId="66F6F88E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3E55662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522E1567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5D86BBC9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48E45867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1CFBEF1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1A88BBC9" w14:textId="18F928DC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  <w:t>S e c t i o n 3   S i g n a l     d e t e c t i o n</w:t>
            </w:r>
          </w:p>
          <w:p w14:paraId="28E17A5B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pl-PL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pl-PL" w:eastAsia="ru-RU"/>
              </w:rPr>
              <w:t>Article 107h</w:t>
            </w:r>
          </w:p>
          <w:p w14:paraId="778AC826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pl-PL" w:eastAsia="ru-RU"/>
              </w:rPr>
            </w:pPr>
          </w:p>
          <w:p w14:paraId="5FBCE6BC" w14:textId="6CECA0A6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pl-PL" w:eastAsia="ru-RU"/>
              </w:rPr>
            </w:pPr>
          </w:p>
          <w:p w14:paraId="3649C5E3" w14:textId="6CE555D5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  <w:t>S e c t i o n 4   U r g e n t    U n i o n    p r o c e d u r e</w:t>
            </w:r>
          </w:p>
          <w:p w14:paraId="3416197C" w14:textId="47395B86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107i</w:t>
            </w:r>
          </w:p>
          <w:p w14:paraId="3F665460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107j</w:t>
            </w:r>
          </w:p>
          <w:p w14:paraId="6D0378D6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107k</w:t>
            </w:r>
          </w:p>
          <w:p w14:paraId="47A1CE2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4903C475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4FE2796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4780DB23" w14:textId="19410EAB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pl-PL" w:eastAsia="ru-RU"/>
              </w:rPr>
              <w:t>S e c t i o n 5   P u b l i c a t i o n o f a s s e s s m e n t s</w:t>
            </w:r>
          </w:p>
          <w:p w14:paraId="2F4A48F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107l</w:t>
            </w:r>
          </w:p>
          <w:p w14:paraId="2223D022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CHAPTER 4</w:t>
            </w:r>
          </w:p>
          <w:p w14:paraId="52F45D7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Supervision of post-authorisation safety studies</w:t>
            </w:r>
          </w:p>
          <w:p w14:paraId="44FB8B34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107m</w:t>
            </w:r>
          </w:p>
          <w:p w14:paraId="68699DFB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107n</w:t>
            </w:r>
          </w:p>
          <w:p w14:paraId="0B3A8EC4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107o</w:t>
            </w:r>
          </w:p>
          <w:p w14:paraId="227004E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107p</w:t>
            </w:r>
          </w:p>
          <w:p w14:paraId="676A1A65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107q</w:t>
            </w:r>
          </w:p>
          <w:p w14:paraId="5D700E36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19ED215B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6958910D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6B8F2D67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65EA00D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05206426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  <w:p w14:paraId="005717D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CHAPTER 5</w:t>
            </w:r>
          </w:p>
          <w:p w14:paraId="283AC955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i/>
                <w:iCs/>
                <w:sz w:val="26"/>
                <w:szCs w:val="26"/>
                <w:lang w:val="en-GB" w:eastAsia="ru-RU"/>
              </w:rPr>
              <w:t>Implementation, Delegation and Guidance</w:t>
            </w:r>
          </w:p>
          <w:p w14:paraId="4C9A9DA8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lastRenderedPageBreak/>
              <w:t>Article 108</w:t>
            </w:r>
          </w:p>
          <w:p w14:paraId="412E5E20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108a</w:t>
            </w:r>
          </w:p>
          <w:p w14:paraId="1AA36CBA" w14:textId="34807552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108b</w:t>
            </w:r>
          </w:p>
        </w:tc>
      </w:tr>
      <w:tr w:rsidR="00856EC8" w:rsidRPr="00DB7710" w14:paraId="68D31B1A" w14:textId="77777777" w:rsidTr="00822778">
        <w:tc>
          <w:tcPr>
            <w:tcW w:w="7900" w:type="dxa"/>
          </w:tcPr>
          <w:p w14:paraId="1233CA53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lastRenderedPageBreak/>
              <w:t>Розділ ХII СПЕЦІАЛЬНІ ПОЛОЖЕННЯ ЩОДО ЛІКАРСЬКИХ ЗАСОБІВ, ОТРИМАНИХ З КРОВІ І ПЛАЗМИ КРОВІ ЛЮДИНИ</w:t>
            </w:r>
          </w:p>
          <w:p w14:paraId="67E5875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151. Використання крові або плазми людини як вихідної сировини для виробництва лікарських засобів</w:t>
            </w:r>
          </w:p>
          <w:p w14:paraId="1D24D8C6" w14:textId="6D5F4DBC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152. Самозабезпечення України кров'ю або плазмою людини</w:t>
            </w:r>
          </w:p>
          <w:p w14:paraId="687BBF34" w14:textId="61782C00" w:rsidR="00906783" w:rsidRPr="00DB7710" w:rsidRDefault="00906783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3DA0980E" w14:textId="66C06E50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X SPECIAL PROVISIONS ON MEDICINAL PRODUCTS DERIVED FROM HUMAN BLOOD AND PLASMA</w:t>
            </w:r>
          </w:p>
          <w:p w14:paraId="781F6AB9" w14:textId="77777777" w:rsidR="00EB51C9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109</w:t>
            </w:r>
          </w:p>
          <w:p w14:paraId="6E630C13" w14:textId="038D8C93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110</w:t>
            </w:r>
          </w:p>
        </w:tc>
      </w:tr>
      <w:tr w:rsidR="00856EC8" w:rsidRPr="00DB7710" w14:paraId="54A14277" w14:textId="77777777" w:rsidTr="00822778">
        <w:tc>
          <w:tcPr>
            <w:tcW w:w="7900" w:type="dxa"/>
          </w:tcPr>
          <w:p w14:paraId="5ED4B6D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ХІII НАГЛЯД І САНКЦІЇ</w:t>
            </w:r>
          </w:p>
          <w:p w14:paraId="2176FB6C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153. Завдання державного контролю якості лікарських засобів</w:t>
            </w:r>
          </w:p>
          <w:p w14:paraId="6C98233E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154. Спеціальні повноваження органу державного контролю</w:t>
            </w:r>
          </w:p>
          <w:p w14:paraId="238CE687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155. Проведення планових та позапланових заходів зі здійснення державного контролю виробництва, імпорту та оптової торгівлі лікарськими засобами</w:t>
            </w:r>
          </w:p>
          <w:p w14:paraId="6F749D2F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156. Повноваження посадових осіб органу державного контролю</w:t>
            </w:r>
          </w:p>
          <w:p w14:paraId="67BF139A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157. Фінансування і матеріально-технічне забезпечення діяльності органу державного контролю</w:t>
            </w:r>
          </w:p>
          <w:p w14:paraId="285FDAC8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158. Оцінка еквівалентності національних систем державного регулювання обігу лікарських засобів</w:t>
            </w:r>
          </w:p>
          <w:p w14:paraId="0058EA5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159. Кінцевий і проміжний контроль якості лікарського засобу та його інгредієнтів</w:t>
            </w:r>
          </w:p>
          <w:p w14:paraId="6E231AF1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160. Надання звітів про контроль якості імунологічних лікарських засобів</w:t>
            </w:r>
          </w:p>
          <w:p w14:paraId="53CD7BBF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Стаття 161. Спеціальна процедура державного контролю якості деяких лікарських засобів</w:t>
            </w:r>
          </w:p>
          <w:p w14:paraId="0D1141B4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162. Нагляд (контроль) за процесами виробництва лікарських засобів, отриманих з людської крові або плазми</w:t>
            </w:r>
          </w:p>
          <w:p w14:paraId="6A125EC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163. Обмеження або заборона поставки та вилучення з обігу лікарських засобів</w:t>
            </w:r>
          </w:p>
          <w:p w14:paraId="5DCA973D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164. Міжнародна система з запобігання потрапляння до пацієнтів неякісних лікарських засобів</w:t>
            </w:r>
          </w:p>
          <w:p w14:paraId="4018D9AD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165. Адміністративно-господарські санкції за порушення законодавства про лікарські засоби</w:t>
            </w:r>
          </w:p>
          <w:p w14:paraId="14638583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166. Відповідальність при проведенні доклінічних і клінічних досліджень лікарських засобів</w:t>
            </w:r>
          </w:p>
          <w:p w14:paraId="4905A6E4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167. Відшкодування шкоди, завданої здоров’ю громадян внаслідок застосування лікарських засобів</w:t>
            </w:r>
          </w:p>
          <w:p w14:paraId="78E04A6C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168. Координація державної політики з запобігання та боротьби з фальсифікацією лікарських засобів</w:t>
            </w:r>
          </w:p>
          <w:p w14:paraId="4F940A05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169. Співпраця органу державного контролю і митниці</w:t>
            </w:r>
          </w:p>
          <w:p w14:paraId="7D513429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170. Право на судове оскарження рішень органів державної влади</w:t>
            </w:r>
          </w:p>
          <w:p w14:paraId="2F4AFAA3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171. Відповідальність за порушення законодавства про лікарські засоби</w:t>
            </w:r>
          </w:p>
          <w:p w14:paraId="010D115A" w14:textId="7C360D4C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Стаття 172. Міжнародне співробітництво</w:t>
            </w:r>
          </w:p>
          <w:p w14:paraId="749AA6C4" w14:textId="36403984" w:rsidR="00906783" w:rsidRPr="00DB7710" w:rsidRDefault="00906783" w:rsidP="00BA67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60418517" w14:textId="38CD256F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lastRenderedPageBreak/>
              <w:t>TITLE XI SUPERVISION AND SANCTIONS</w:t>
            </w:r>
          </w:p>
          <w:p w14:paraId="7C18C6FF" w14:textId="77777777" w:rsidR="00856EC8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111</w:t>
            </w:r>
          </w:p>
          <w:p w14:paraId="6CE1D5B7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111a</w:t>
            </w:r>
          </w:p>
          <w:p w14:paraId="59303E45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111b</w:t>
            </w:r>
          </w:p>
          <w:p w14:paraId="6F287C6C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112</w:t>
            </w:r>
          </w:p>
          <w:p w14:paraId="4C771B7B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113</w:t>
            </w:r>
          </w:p>
          <w:p w14:paraId="00D56FDC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114</w:t>
            </w:r>
          </w:p>
          <w:p w14:paraId="78071E1A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115</w:t>
            </w:r>
          </w:p>
          <w:p w14:paraId="7ABFED9F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116</w:t>
            </w:r>
          </w:p>
          <w:p w14:paraId="2A2DD0C2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117</w:t>
            </w:r>
          </w:p>
          <w:p w14:paraId="7F83C47C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117a</w:t>
            </w:r>
          </w:p>
          <w:p w14:paraId="09067F6B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118</w:t>
            </w:r>
          </w:p>
          <w:p w14:paraId="7F034A5E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118a</w:t>
            </w:r>
          </w:p>
          <w:p w14:paraId="396434EE" w14:textId="77777777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118b</w:t>
            </w:r>
          </w:p>
          <w:p w14:paraId="6BFC99B2" w14:textId="0D54D14D" w:rsidR="004347D2" w:rsidRPr="00DB7710" w:rsidRDefault="004347D2" w:rsidP="004347D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  <w:t>Article 119</w:t>
            </w:r>
          </w:p>
        </w:tc>
      </w:tr>
      <w:tr w:rsidR="00856EC8" w:rsidRPr="00DB7710" w14:paraId="0FBBE627" w14:textId="77777777" w:rsidTr="00822778">
        <w:tc>
          <w:tcPr>
            <w:tcW w:w="7900" w:type="dxa"/>
          </w:tcPr>
          <w:p w14:paraId="6FE393E8" w14:textId="77777777" w:rsidR="006E42B0" w:rsidRPr="00DB7710" w:rsidRDefault="006E42B0" w:rsidP="006E42B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ХIV ПРИКІНЦЕВІ ПОЛОЖЕННЯ</w:t>
            </w:r>
          </w:p>
          <w:p w14:paraId="336BE073" w14:textId="4BCE0BBB" w:rsidR="00906783" w:rsidRPr="00DB7710" w:rsidRDefault="00906783" w:rsidP="00BA67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58A43E0A" w14:textId="3EB45DAE" w:rsidR="009317D4" w:rsidRPr="00DB7710" w:rsidRDefault="009317D4" w:rsidP="009317D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XIII GENERAL PROVISIONS</w:t>
            </w:r>
          </w:p>
          <w:p w14:paraId="4C8E7218" w14:textId="287AA02C" w:rsidR="00856EC8" w:rsidRPr="00DB7710" w:rsidRDefault="00856EC8" w:rsidP="009317D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</w:tc>
      </w:tr>
      <w:tr w:rsidR="006E42B0" w:rsidRPr="00DB7710" w14:paraId="6D91F739" w14:textId="77777777" w:rsidTr="00822778">
        <w:tc>
          <w:tcPr>
            <w:tcW w:w="7900" w:type="dxa"/>
          </w:tcPr>
          <w:p w14:paraId="1CF7E386" w14:textId="77777777" w:rsidR="006E42B0" w:rsidRPr="00DB7710" w:rsidRDefault="006E42B0" w:rsidP="00BA67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Розділ ХV ПЕРЕХІДНІ ПОЛОЖЕННЯ</w:t>
            </w:r>
          </w:p>
          <w:p w14:paraId="0B454D60" w14:textId="08AE2CC3" w:rsidR="006E42B0" w:rsidRPr="00DB7710" w:rsidRDefault="006E42B0" w:rsidP="00BA67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7900" w:type="dxa"/>
          </w:tcPr>
          <w:p w14:paraId="794DC5FB" w14:textId="46FDFA73" w:rsidR="009317D4" w:rsidRPr="00DB7710" w:rsidRDefault="009317D4" w:rsidP="009317D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</w:pPr>
            <w:r w:rsidRPr="00DB7710">
              <w:rPr>
                <w:rFonts w:ascii="Times New Roman" w:hAnsi="Times New Roman"/>
                <w:b/>
                <w:sz w:val="26"/>
                <w:szCs w:val="26"/>
                <w:lang w:val="en-GB" w:eastAsia="ru-RU"/>
              </w:rPr>
              <w:t>TITLE XIV FINAL PROVISIONS</w:t>
            </w:r>
          </w:p>
          <w:p w14:paraId="7CB602AF" w14:textId="2EDB44B6" w:rsidR="006E42B0" w:rsidRPr="00DB7710" w:rsidRDefault="006E42B0" w:rsidP="009317D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en-GB" w:eastAsia="ru-RU"/>
              </w:rPr>
            </w:pPr>
          </w:p>
        </w:tc>
      </w:tr>
    </w:tbl>
    <w:p w14:paraId="55EB606F" w14:textId="38A2E0E7" w:rsidR="00CD0F77" w:rsidRPr="00AF0141" w:rsidRDefault="00CD0F77" w:rsidP="005434AD">
      <w:pPr>
        <w:tabs>
          <w:tab w:val="left" w:pos="540"/>
          <w:tab w:val="left" w:pos="77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D0F77" w:rsidRPr="00AF0141" w:rsidSect="00822778">
      <w:headerReference w:type="even" r:id="rId8"/>
      <w:headerReference w:type="default" r:id="rId9"/>
      <w:footerReference w:type="even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25CB" w14:textId="77777777" w:rsidR="008271A3" w:rsidRDefault="008271A3">
      <w:r>
        <w:separator/>
      </w:r>
    </w:p>
  </w:endnote>
  <w:endnote w:type="continuationSeparator" w:id="0">
    <w:p w14:paraId="189A2C2A" w14:textId="77777777" w:rsidR="008271A3" w:rsidRDefault="0082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5191" w14:textId="77777777" w:rsidR="00592919" w:rsidRDefault="00592919" w:rsidP="00D956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1F0E67" w14:textId="77777777" w:rsidR="00592919" w:rsidRDefault="005929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928C" w14:textId="77777777" w:rsidR="008271A3" w:rsidRDefault="008271A3">
      <w:r>
        <w:separator/>
      </w:r>
    </w:p>
  </w:footnote>
  <w:footnote w:type="continuationSeparator" w:id="0">
    <w:p w14:paraId="69E0CF5A" w14:textId="77777777" w:rsidR="008271A3" w:rsidRDefault="0082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2C1D" w14:textId="77777777" w:rsidR="00592919" w:rsidRDefault="00592919" w:rsidP="00BA49E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5F119B" w14:textId="77777777" w:rsidR="00592919" w:rsidRDefault="0059291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003B" w14:textId="77777777" w:rsidR="00592919" w:rsidRPr="00C93CFF" w:rsidRDefault="00592919" w:rsidP="00C93CFF">
    <w:pPr>
      <w:pStyle w:val="aa"/>
      <w:framePr w:wrap="around" w:vAnchor="text" w:hAnchor="page" w:x="16057" w:y="-84"/>
      <w:rPr>
        <w:rStyle w:val="a9"/>
        <w:rFonts w:ascii="Times New Roman" w:hAnsi="Times New Roman"/>
        <w:sz w:val="24"/>
        <w:szCs w:val="24"/>
      </w:rPr>
    </w:pPr>
    <w:r w:rsidRPr="00C93CFF">
      <w:rPr>
        <w:rStyle w:val="a9"/>
        <w:rFonts w:ascii="Times New Roman" w:hAnsi="Times New Roman"/>
        <w:sz w:val="24"/>
        <w:szCs w:val="24"/>
      </w:rPr>
      <w:fldChar w:fldCharType="begin"/>
    </w:r>
    <w:r w:rsidRPr="00C93CFF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C93CFF">
      <w:rPr>
        <w:rStyle w:val="a9"/>
        <w:rFonts w:ascii="Times New Roman" w:hAnsi="Times New Roman"/>
        <w:sz w:val="24"/>
        <w:szCs w:val="24"/>
      </w:rPr>
      <w:fldChar w:fldCharType="separate"/>
    </w:r>
    <w:r w:rsidRPr="00C93CFF">
      <w:rPr>
        <w:rStyle w:val="a9"/>
        <w:rFonts w:ascii="Times New Roman" w:hAnsi="Times New Roman"/>
        <w:noProof/>
        <w:sz w:val="24"/>
        <w:szCs w:val="24"/>
      </w:rPr>
      <w:t>2</w:t>
    </w:r>
    <w:r w:rsidRPr="00C93CFF">
      <w:rPr>
        <w:rStyle w:val="a9"/>
        <w:rFonts w:ascii="Times New Roman" w:hAnsi="Times New Roman"/>
        <w:sz w:val="24"/>
        <w:szCs w:val="24"/>
      </w:rPr>
      <w:fldChar w:fldCharType="end"/>
    </w:r>
  </w:p>
  <w:p w14:paraId="40EBD5B0" w14:textId="77777777" w:rsidR="00592919" w:rsidRPr="00C93CFF" w:rsidRDefault="00592919" w:rsidP="00C93CFF">
    <w:pPr>
      <w:pStyle w:val="aa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3F11"/>
    <w:multiLevelType w:val="hybridMultilevel"/>
    <w:tmpl w:val="2C0ACF94"/>
    <w:lvl w:ilvl="0" w:tplc="0C2428C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1D"/>
    <w:rsid w:val="00002B23"/>
    <w:rsid w:val="0006113B"/>
    <w:rsid w:val="00071B97"/>
    <w:rsid w:val="00073170"/>
    <w:rsid w:val="000852AA"/>
    <w:rsid w:val="000B7CCF"/>
    <w:rsid w:val="000D2FE5"/>
    <w:rsid w:val="0010052D"/>
    <w:rsid w:val="00101A3F"/>
    <w:rsid w:val="00151D5E"/>
    <w:rsid w:val="00157316"/>
    <w:rsid w:val="0016515B"/>
    <w:rsid w:val="00172A47"/>
    <w:rsid w:val="001743FC"/>
    <w:rsid w:val="001770F6"/>
    <w:rsid w:val="001857F8"/>
    <w:rsid w:val="001C5200"/>
    <w:rsid w:val="001D505E"/>
    <w:rsid w:val="001E3D1C"/>
    <w:rsid w:val="00221334"/>
    <w:rsid w:val="00256C7F"/>
    <w:rsid w:val="00261141"/>
    <w:rsid w:val="00272266"/>
    <w:rsid w:val="0028084B"/>
    <w:rsid w:val="00281BEC"/>
    <w:rsid w:val="002934B3"/>
    <w:rsid w:val="002A160F"/>
    <w:rsid w:val="00304DB0"/>
    <w:rsid w:val="00333AA8"/>
    <w:rsid w:val="00341825"/>
    <w:rsid w:val="00352A35"/>
    <w:rsid w:val="003971F3"/>
    <w:rsid w:val="003A0F2F"/>
    <w:rsid w:val="003C1E3D"/>
    <w:rsid w:val="003C5948"/>
    <w:rsid w:val="00424172"/>
    <w:rsid w:val="004347D2"/>
    <w:rsid w:val="00442259"/>
    <w:rsid w:val="00474228"/>
    <w:rsid w:val="004C07B2"/>
    <w:rsid w:val="004E3402"/>
    <w:rsid w:val="004F2D0E"/>
    <w:rsid w:val="00505203"/>
    <w:rsid w:val="00520573"/>
    <w:rsid w:val="005434AD"/>
    <w:rsid w:val="00555D02"/>
    <w:rsid w:val="00564D10"/>
    <w:rsid w:val="00571008"/>
    <w:rsid w:val="00591192"/>
    <w:rsid w:val="00592919"/>
    <w:rsid w:val="005937DA"/>
    <w:rsid w:val="005946D9"/>
    <w:rsid w:val="005B59EF"/>
    <w:rsid w:val="005C067A"/>
    <w:rsid w:val="005C3817"/>
    <w:rsid w:val="005D6E76"/>
    <w:rsid w:val="005F29A9"/>
    <w:rsid w:val="005F7A73"/>
    <w:rsid w:val="00646033"/>
    <w:rsid w:val="0068507B"/>
    <w:rsid w:val="00687FF8"/>
    <w:rsid w:val="006D1397"/>
    <w:rsid w:val="006D355E"/>
    <w:rsid w:val="006D66F5"/>
    <w:rsid w:val="006E42B0"/>
    <w:rsid w:val="006F2B91"/>
    <w:rsid w:val="0071318F"/>
    <w:rsid w:val="00733DEF"/>
    <w:rsid w:val="00744E82"/>
    <w:rsid w:val="007627C9"/>
    <w:rsid w:val="007651A7"/>
    <w:rsid w:val="007C5ED7"/>
    <w:rsid w:val="00805021"/>
    <w:rsid w:val="00807427"/>
    <w:rsid w:val="00822778"/>
    <w:rsid w:val="00824107"/>
    <w:rsid w:val="008271A3"/>
    <w:rsid w:val="00856EC8"/>
    <w:rsid w:val="00863645"/>
    <w:rsid w:val="00875FED"/>
    <w:rsid w:val="008A0E3A"/>
    <w:rsid w:val="008C712B"/>
    <w:rsid w:val="00906783"/>
    <w:rsid w:val="00910930"/>
    <w:rsid w:val="009317D4"/>
    <w:rsid w:val="0097410D"/>
    <w:rsid w:val="009A4EF4"/>
    <w:rsid w:val="009A5875"/>
    <w:rsid w:val="009C5E33"/>
    <w:rsid w:val="009E7D99"/>
    <w:rsid w:val="009F0EEB"/>
    <w:rsid w:val="00A601FD"/>
    <w:rsid w:val="00A614E0"/>
    <w:rsid w:val="00A961D3"/>
    <w:rsid w:val="00AA4336"/>
    <w:rsid w:val="00AA5A1C"/>
    <w:rsid w:val="00AB4662"/>
    <w:rsid w:val="00AF0141"/>
    <w:rsid w:val="00B03439"/>
    <w:rsid w:val="00B26300"/>
    <w:rsid w:val="00B26D1F"/>
    <w:rsid w:val="00B26EAE"/>
    <w:rsid w:val="00B33280"/>
    <w:rsid w:val="00B4073F"/>
    <w:rsid w:val="00B63DA7"/>
    <w:rsid w:val="00B671FF"/>
    <w:rsid w:val="00B95BCA"/>
    <w:rsid w:val="00BA49EB"/>
    <w:rsid w:val="00BA6750"/>
    <w:rsid w:val="00BB07A9"/>
    <w:rsid w:val="00BE23EA"/>
    <w:rsid w:val="00BE53D5"/>
    <w:rsid w:val="00C2754C"/>
    <w:rsid w:val="00C53DC4"/>
    <w:rsid w:val="00C56120"/>
    <w:rsid w:val="00C6506F"/>
    <w:rsid w:val="00C661DA"/>
    <w:rsid w:val="00C7074B"/>
    <w:rsid w:val="00C93CFF"/>
    <w:rsid w:val="00C95E0F"/>
    <w:rsid w:val="00CA3B34"/>
    <w:rsid w:val="00CA74BB"/>
    <w:rsid w:val="00CB5861"/>
    <w:rsid w:val="00CB6D3C"/>
    <w:rsid w:val="00CC1318"/>
    <w:rsid w:val="00CC7F2D"/>
    <w:rsid w:val="00CD0F77"/>
    <w:rsid w:val="00CD176C"/>
    <w:rsid w:val="00D17058"/>
    <w:rsid w:val="00D300FD"/>
    <w:rsid w:val="00D66D59"/>
    <w:rsid w:val="00D85E93"/>
    <w:rsid w:val="00D95693"/>
    <w:rsid w:val="00DB7710"/>
    <w:rsid w:val="00DC25BE"/>
    <w:rsid w:val="00DC78E4"/>
    <w:rsid w:val="00E07AAF"/>
    <w:rsid w:val="00E17B2C"/>
    <w:rsid w:val="00E2211D"/>
    <w:rsid w:val="00E25A93"/>
    <w:rsid w:val="00E56947"/>
    <w:rsid w:val="00E75C57"/>
    <w:rsid w:val="00EB51C9"/>
    <w:rsid w:val="00EB5E28"/>
    <w:rsid w:val="00EE1AFC"/>
    <w:rsid w:val="00EF52D6"/>
    <w:rsid w:val="00F156AE"/>
    <w:rsid w:val="00F44210"/>
    <w:rsid w:val="00F95F57"/>
    <w:rsid w:val="00FA3B13"/>
    <w:rsid w:val="00FA68EE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15AEE"/>
  <w15:docId w15:val="{49A7BEA9-E048-4A6D-867C-43F21C1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783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3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‚’€ђ âÕÛђ âÕÛђ âÕÛђ"/>
    <w:basedOn w:val="a"/>
    <w:uiPriority w:val="99"/>
    <w:rsid w:val="00CC1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B3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3402"/>
    <w:pPr>
      <w:ind w:left="720"/>
      <w:contextualSpacing/>
    </w:pPr>
  </w:style>
  <w:style w:type="paragraph" w:styleId="a7">
    <w:name w:val="footer"/>
    <w:basedOn w:val="a"/>
    <w:link w:val="a8"/>
    <w:uiPriority w:val="99"/>
    <w:rsid w:val="005C3817"/>
    <w:pPr>
      <w:tabs>
        <w:tab w:val="center" w:pos="4819"/>
        <w:tab w:val="right" w:pos="9639"/>
      </w:tabs>
    </w:pPr>
  </w:style>
  <w:style w:type="character" w:styleId="a9">
    <w:name w:val="page number"/>
    <w:basedOn w:val="a0"/>
    <w:uiPriority w:val="99"/>
    <w:rsid w:val="005C3817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754C"/>
    <w:rPr>
      <w:rFonts w:cs="Times New Roman"/>
      <w:lang w:val="ru-RU" w:eastAsia="en-US"/>
    </w:rPr>
  </w:style>
  <w:style w:type="paragraph" w:styleId="aa">
    <w:name w:val="header"/>
    <w:basedOn w:val="a"/>
    <w:link w:val="ab"/>
    <w:uiPriority w:val="99"/>
    <w:rsid w:val="005C381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2754C"/>
    <w:rPr>
      <w:rFonts w:cs="Times New Roman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AF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0141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959B-B877-46FD-BCC3-7A325928DC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2602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GMP</dc:creator>
  <cp:lastModifiedBy>Мария Тимчук</cp:lastModifiedBy>
  <cp:revision>2</cp:revision>
  <cp:lastPrinted>2015-02-17T11:54:00Z</cp:lastPrinted>
  <dcterms:created xsi:type="dcterms:W3CDTF">2020-11-26T07:18:00Z</dcterms:created>
  <dcterms:modified xsi:type="dcterms:W3CDTF">2020-11-26T07:18:00Z</dcterms:modified>
</cp:coreProperties>
</file>