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ПОРІВНЯЛЬНА ТАБЛИЦЯ</w:t>
      </w:r>
    </w:p>
    <w:p>
      <w:pPr>
        <w:pStyle w:val="Normal"/>
        <w:jc w:val="center"/>
        <w:rPr>
          <w:b/>
          <w:sz w:val="27"/>
          <w:szCs w:val="27"/>
          <w:lang w:eastAsia="uk-UA"/>
        </w:rPr>
      </w:pPr>
      <w:r>
        <w:rPr>
          <w:b/>
          <w:sz w:val="27"/>
          <w:szCs w:val="27"/>
          <w:lang w:eastAsia="uk-UA"/>
        </w:rPr>
        <w:t>до проекту Закону України «Про внесення змін до Закону України «Про лікарські засоби» щодо власника реєстраційного посвідчення»</w:t>
      </w:r>
    </w:p>
    <w:p>
      <w:pPr>
        <w:pStyle w:val="Normal"/>
        <w:rPr>
          <w:b/>
          <w:sz w:val="27"/>
          <w:szCs w:val="27"/>
          <w:lang w:eastAsia="uk-UA"/>
        </w:rPr>
      </w:pPr>
      <w:r>
        <w:rPr>
          <w:b/>
          <w:sz w:val="27"/>
          <w:szCs w:val="27"/>
          <w:lang w:eastAsia="uk-UA"/>
        </w:rPr>
      </w:r>
    </w:p>
    <w:tbl>
      <w:tblPr>
        <w:jc w:val="left"/>
        <w:tblInd w:w="-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095"/>
        <w:gridCol w:w="6380"/>
        <w:gridCol w:w="3546"/>
      </w:tblGrid>
      <w:tr>
        <w:trPr>
          <w:trHeight w:val="542" w:hRule="atLeast"/>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положення акта законодавства</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відповідного положення проекту акта</w:t>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color w:val="000000"/>
                <w:sz w:val="27"/>
                <w:szCs w:val="27"/>
              </w:rPr>
            </w:pPr>
            <w:r>
              <w:rPr>
                <w:b/>
                <w:color w:val="000000"/>
                <w:sz w:val="27"/>
                <w:szCs w:val="27"/>
              </w:rPr>
              <w:t>Пояснення змін</w:t>
            </w:r>
          </w:p>
        </w:tc>
      </w:tr>
      <w:tr>
        <w:trPr>
          <w:trHeight w:val="1408" w:hRule="atLeast"/>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власник реєстраційного посвідчення (заявник) – зареєстрована в установленому законодавством України порядку юридична особа, яка подає заяву на державну реєстрацію лікарського засобу або вже отримала реєстраційне посвідчення на лікарський засіб у порядку, передбаченому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 встановлення чіткого визначення терміну «власник реєстраційного посвідчення (заявник)» та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w:t>
            </w:r>
          </w:p>
        </w:tc>
      </w:tr>
      <w:tr>
        <w:trPr>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Державна реєстрація лікарських засобів проводиться на підставі заяви, поданої до центрального органу виконавчої влади, що реалізує державну політику у сфері охорони здоров’я.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заяві про державну реєстрацію лікарського засобу зазначаються: назва та адреса виробника; адреса його місцезнаходження та виробничих потужностей; назва лікарського засобу і його торговельна назва; назва діючої речовини (латинською мовою);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Для державної реєстрації лікарського засобу заявник або уповноважена ним особа у встановленому порядку подає центральному органу виконавчої влади, що забезпечує формування та реалізує державну політику у сфері охорони здоров’я, заяву та реєстраційні матеріали, що додаються до заяви, з яких формується реєстраційне досьє на лікарський засіб.</w:t>
            </w:r>
          </w:p>
          <w:p>
            <w:pPr>
              <w:pStyle w:val="Normal"/>
              <w:spacing w:lineRule="auto" w:line="276"/>
              <w:ind w:left="0" w:right="0" w:firstLine="318"/>
              <w:jc w:val="both"/>
              <w:rPr>
                <w:b/>
                <w:bCs/>
                <w:color w:val="000000"/>
                <w:sz w:val="27"/>
                <w:szCs w:val="27"/>
              </w:rPr>
            </w:pPr>
            <w:r>
              <w:rPr>
                <w:b/>
                <w:bCs/>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Заявник (власник реєстраційного посвідчення в Україні) відповідає за безпеку, ефективність та якість лікарського засобу, здійснює фармаконагляд та обов’язки, пов’язані із виконанням вимог чинної в Україні настанови з належної виробничої практики, а також відповідає за достовірність інформації, яка міститься у поданих матеріалах реєстраційного досьє.</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У заяві про державну реєстрацію лікарського засобу зазначаються: </w:t>
            </w:r>
            <w:r>
              <w:rPr>
                <w:b/>
                <w:bCs/>
                <w:color w:val="000000"/>
                <w:sz w:val="27"/>
                <w:szCs w:val="27"/>
              </w:rPr>
              <w:t>назва та місцезнаходження заявника;</w:t>
            </w:r>
            <w:r>
              <w:rPr>
                <w:color w:val="000000"/>
                <w:sz w:val="27"/>
                <w:szCs w:val="27"/>
              </w:rPr>
              <w:t xml:space="preserve"> </w:t>
            </w:r>
            <w:r>
              <w:rPr>
                <w:b/>
                <w:bCs/>
                <w:color w:val="000000"/>
                <w:sz w:val="27"/>
                <w:szCs w:val="27"/>
              </w:rPr>
              <w:t>назва виробника, місцезнаходження та</w:t>
            </w:r>
            <w:r>
              <w:rPr>
                <w:color w:val="000000"/>
                <w:sz w:val="27"/>
                <w:szCs w:val="27"/>
              </w:rPr>
              <w:t xml:space="preserve"> </w:t>
            </w:r>
            <w:r>
              <w:rPr>
                <w:b/>
                <w:bCs/>
                <w:color w:val="000000"/>
                <w:sz w:val="27"/>
                <w:szCs w:val="27"/>
              </w:rPr>
              <w:t>адреса</w:t>
            </w:r>
            <w:r>
              <w:rPr>
                <w:color w:val="000000"/>
                <w:sz w:val="27"/>
                <w:szCs w:val="27"/>
              </w:rPr>
              <w:t xml:space="preserve"> його виробничих потужностей; назва лікарського засобу і його торговельна назва; назва діючої речовини </w:t>
            </w:r>
            <w:r>
              <w:rPr>
                <w:b/>
                <w:bCs/>
                <w:color w:val="000000"/>
                <w:sz w:val="27"/>
                <w:szCs w:val="27"/>
              </w:rPr>
              <w:t>латинською мовою (міжнародна непатентована назва або хімічна назва (за відсутності міжнародної непатентованої назви)</w:t>
            </w:r>
            <w:r>
              <w:rPr>
                <w:color w:val="000000"/>
                <w:sz w:val="27"/>
                <w:szCs w:val="27"/>
              </w:rPr>
              <w:t>;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дані щодо реєстрації лікарського засобу в Сполучених Штатах Америки, Швейцарської Конфедерації, Японії, Австр</w:t>
            </w:r>
            <w:bookmarkStart w:id="0" w:name="_GoBack"/>
            <w:bookmarkEnd w:id="0"/>
            <w:r>
              <w:rPr>
                <w:color w:val="000000"/>
                <w:sz w:val="27"/>
                <w:szCs w:val="27"/>
              </w:rPr>
              <w:t>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p>
            <w:pPr>
              <w:pStyle w:val="Normal"/>
              <w:spacing w:lineRule="auto" w:line="276"/>
              <w:ind w:left="0" w:right="0" w:firstLine="318"/>
              <w:jc w:val="both"/>
              <w:rPr>
                <w:color w:val="000000"/>
                <w:sz w:val="27"/>
                <w:szCs w:val="27"/>
              </w:rPr>
            </w:pPr>
            <w:r>
              <w:rPr>
                <w:color w:val="000000"/>
                <w:sz w:val="27"/>
                <w:szCs w:val="27"/>
              </w:rPr>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w:t>
            </w:r>
          </w:p>
          <w:p>
            <w:pPr>
              <w:pStyle w:val="Normal"/>
              <w:spacing w:lineRule="auto" w:line="276"/>
              <w:ind w:left="0" w:right="0" w:firstLine="316"/>
              <w:jc w:val="both"/>
              <w:rPr>
                <w:color w:val="000000"/>
                <w:sz w:val="27"/>
                <w:szCs w:val="27"/>
              </w:rPr>
            </w:pPr>
            <w:r>
              <w:rPr>
                <w:color w:val="000000"/>
                <w:sz w:val="27"/>
                <w:szCs w:val="27"/>
              </w:rPr>
              <w:t>встановлення чіткої відповідальності за якість, безпечність та ефективність зареєстрованого в Україні лікарського засобу;</w:t>
            </w:r>
          </w:p>
          <w:p>
            <w:pPr>
              <w:pStyle w:val="Normal"/>
              <w:spacing w:lineRule="auto" w:line="276"/>
              <w:ind w:left="0" w:right="0" w:firstLine="316"/>
              <w:jc w:val="both"/>
              <w:rPr>
                <w:color w:val="000000"/>
                <w:sz w:val="27"/>
                <w:szCs w:val="27"/>
              </w:rPr>
            </w:pPr>
            <w:r>
              <w:rPr>
                <w:color w:val="000000"/>
                <w:sz w:val="27"/>
                <w:szCs w:val="27"/>
              </w:rPr>
              <w:t>усунення юридичних колізій між нормативно-правовими актами законодавства України в сфері обігу лікарських засобів;</w:t>
            </w:r>
          </w:p>
          <w:p>
            <w:pPr>
              <w:pStyle w:val="Normal"/>
              <w:spacing w:lineRule="auto" w:line="276"/>
              <w:ind w:left="0" w:right="0" w:firstLine="316"/>
              <w:jc w:val="both"/>
              <w:rPr>
                <w:color w:val="000000"/>
                <w:sz w:val="27"/>
                <w:szCs w:val="27"/>
              </w:rPr>
            </w:pPr>
            <w:r>
              <w:rPr>
                <w:color w:val="000000"/>
                <w:sz w:val="27"/>
                <w:szCs w:val="27"/>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Normal"/>
              <w:spacing w:lineRule="auto" w:line="276"/>
              <w:ind w:left="0" w:right="0" w:firstLine="316"/>
              <w:jc w:val="both"/>
              <w:rPr>
                <w:color w:val="000000"/>
                <w:sz w:val="27"/>
                <w:szCs w:val="27"/>
              </w:rPr>
            </w:pPr>
            <w:r>
              <w:rPr>
                <w:color w:val="000000"/>
                <w:sz w:val="27"/>
                <w:szCs w:val="27"/>
              </w:rPr>
            </w:r>
          </w:p>
        </w:tc>
      </w:tr>
    </w:tbl>
    <w:p>
      <w:pPr>
        <w:pStyle w:val="Normal"/>
        <w:jc w:val="both"/>
        <w:rPr>
          <w:rFonts w:eastAsia="Calibri"/>
          <w:sz w:val="28"/>
          <w:szCs w:val="28"/>
          <w:lang w:eastAsia="en-US"/>
        </w:rPr>
      </w:pPr>
      <w:r>
        <w:rPr>
          <w:rFonts w:eastAsia="Calibri"/>
          <w:sz w:val="28"/>
          <w:szCs w:val="28"/>
          <w:lang w:eastAsia="en-US"/>
        </w:rPr>
      </w:r>
    </w:p>
    <w:p>
      <w:pPr>
        <w:pStyle w:val="Normal"/>
        <w:ind w:left="0" w:right="0" w:firstLine="709"/>
        <w:jc w:val="both"/>
        <w:rPr>
          <w:b/>
          <w:spacing w:val="-8"/>
          <w:sz w:val="28"/>
          <w:szCs w:val="28"/>
        </w:rPr>
      </w:pPr>
      <w:r>
        <w:rPr>
          <w:b/>
          <w:spacing w:val="-8"/>
          <w:sz w:val="28"/>
          <w:szCs w:val="28"/>
        </w:rPr>
        <w:t>Міністр охорони здоров’я України</w:t>
        <w:tab/>
        <w:tab/>
        <w:tab/>
        <w:tab/>
        <w:tab/>
        <w:tab/>
        <w:tab/>
        <w:tab/>
        <w:tab/>
        <w:t xml:space="preserve">        </w:t>
        <w:tab/>
        <w:t>Максим СТЕПАНОВ</w:t>
      </w:r>
    </w:p>
    <w:p>
      <w:pPr>
        <w:pStyle w:val="Normal"/>
        <w:ind w:left="0" w:right="0" w:firstLine="709"/>
        <w:rPr>
          <w:spacing w:val="-8"/>
          <w:sz w:val="28"/>
          <w:szCs w:val="28"/>
        </w:rPr>
      </w:pPr>
      <w:r>
        <w:rPr>
          <w:spacing w:val="-8"/>
          <w:sz w:val="28"/>
          <w:szCs w:val="28"/>
        </w:rPr>
      </w:r>
    </w:p>
    <w:p>
      <w:pPr>
        <w:pStyle w:val="Normal"/>
        <w:ind w:left="0" w:right="0" w:firstLine="709"/>
        <w:rPr>
          <w:spacing w:val="-8"/>
          <w:sz w:val="28"/>
          <w:szCs w:val="28"/>
        </w:rPr>
      </w:pPr>
      <w:r>
        <w:rPr>
          <w:spacing w:val="-8"/>
          <w:sz w:val="28"/>
          <w:szCs w:val="28"/>
        </w:rPr>
        <w:t>“</w:t>
      </w:r>
      <w:r>
        <w:rPr>
          <w:spacing w:val="-8"/>
          <w:sz w:val="28"/>
          <w:szCs w:val="28"/>
        </w:rPr>
        <w:t>____” ____________ 2020 року</w:t>
      </w:r>
    </w:p>
    <w:sectPr>
      <w:headerReference w:type="default" r:id="rId2"/>
      <w:type w:val="nextPage"/>
      <w:pgSz w:orient="landscape" w:w="16838" w:h="11906"/>
      <w:pgMar w:left="567" w:right="567" w:header="709" w:top="1134"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before="0" w:after="120"/>
      <w:jc w:val="center"/>
      <w:rPr/>
    </w:pPr>
    <w:r>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Style15" w:customStyle="1">
    <w:name w:val="Нижний колонтитул Знак"/>
    <w:uiPriority w:val="99"/>
    <w:link w:val="a7"/>
    <w:rsid w:val="0028690b"/>
    <w:basedOn w:val="DefaultParagraphFont"/>
    <w:rPr>
      <w:rFonts w:ascii="Times New Roman" w:hAnsi="Times New Roman"/>
      <w:sz w:val="20"/>
      <w:szCs w:val="20"/>
      <w:lang w:eastAsia="ru-RU"/>
    </w:rPr>
  </w:style>
  <w:style w:type="character" w:styleId="Style16" w:customStyle="1">
    <w:name w:val="Текст выноски Знак"/>
    <w:uiPriority w:val="99"/>
    <w:semiHidden/>
    <w:link w:val="a9"/>
    <w:rsid w:val="00fd5de5"/>
    <w:basedOn w:val="DefaultParagraphFont"/>
    <w:rPr>
      <w:rFonts w:ascii="Segoe UI" w:hAnsi="Segoe UI" w:cs="Segoe UI"/>
      <w:sz w:val="18"/>
      <w:szCs w:val="18"/>
      <w:lang w:eastAsia="ru-RU"/>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3">
    <w:name w:val="Верхний колонтитул"/>
    <w:uiPriority w:val="99"/>
    <w:unhideWhenUsed/>
    <w:link w:val="a5"/>
    <w:rsid w:val="00ff1f78"/>
    <w:basedOn w:val="Normal"/>
    <w:pPr>
      <w:tabs>
        <w:tab w:val="center" w:pos="4677" w:leader="none"/>
        <w:tab w:val="right" w:pos="9355" w:leader="none"/>
      </w:tabs>
    </w:pPr>
    <w:rPr/>
  </w:style>
  <w:style w:type="paragraph" w:styleId="Style24">
    <w:name w:val="Нижний колонтитул"/>
    <w:uiPriority w:val="99"/>
    <w:unhideWhenUsed/>
    <w:link w:val="a8"/>
    <w:rsid w:val="0028690b"/>
    <w:basedOn w:val="Normal"/>
    <w:pPr>
      <w:tabs>
        <w:tab w:val="center" w:pos="4677" w:leader="none"/>
        <w:tab w:val="right" w:pos="9355" w:leader="none"/>
      </w:tabs>
    </w:pPr>
    <w:rPr/>
  </w:style>
  <w:style w:type="paragraph" w:styleId="BalloonText">
    <w:name w:val="Balloon Text"/>
    <w:uiPriority w:val="99"/>
    <w:semiHidden/>
    <w:unhideWhenUsed/>
    <w:link w:val="aa"/>
    <w:rsid w:val="00fd5de5"/>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6">
    <w:name w:val="Table Grid"/>
    <w:basedOn w:val="a1"/>
    <w:uiPriority w:val="99"/>
    <w:rsid w:val="00b53e4f"/>
    <w:pPr>
      <w:spacing w:after="0" w:lineRule="auto" w:line="240"/>
    </w:pPr>
    <w:rPr>
      <w:sz w:val="20"/>
      <w:szCs w:val="20"/>
    </w:r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2020-08-25T08:12:00Z</dcterms:created>
  <dc:creator>GMP</dc:creator>
  <dc:language>uk-UA</dc:language>
  <cp:lastModifiedBy>Светлана Сергеевна</cp:lastModifiedBy>
  <dcterms:modified xsi:type="dcterms:W3CDTF">2020-08-25T08:12:00Z</dcterms:modified>
  <cp:revision>2</cp:revision>
</cp:coreProperties>
</file>