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ПРОЕКТ</w:t>
      </w:r>
    </w:p>
    <w:tbl>
      <w:tblPr>
        <w:tblW w:w="9922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>
          <w:cantSplit w:val="false"/>
        </w:trPr>
        <w:tc>
          <w:tcPr>
            <w:tcW w:w="9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rStyle w:val="SubtleEmphasis"/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</w:pPr>
            <w:r>
              <w:rPr>
                <w:rStyle w:val="SubtleEmphasis"/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  <w:t>КАБІНЕТ МІНІСТРІВ УКРАЇНИ</w:t>
              <w:br/>
              <w:t>ПОСТАНОВА</w:t>
            </w:r>
          </w:p>
        </w:tc>
      </w:tr>
      <w:tr>
        <w:trPr>
          <w:cantSplit w:val="false"/>
        </w:trPr>
        <w:tc>
          <w:tcPr>
            <w:tcW w:w="9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Style w:val="SubtleEmphasis"/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</w:pPr>
            <w:r>
              <w:rPr>
                <w:rStyle w:val="SubtleEmphasis"/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  <w:t>від        2020 р.       № Київ</w:t>
            </w:r>
          </w:p>
          <w:p>
            <w:pPr>
              <w:pStyle w:val="NoSpacing"/>
              <w:jc w:val="center"/>
              <w:rPr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00000A"/>
                <w:sz w:val="28"/>
                <w:szCs w:val="28"/>
              </w:rPr>
            </w:r>
          </w:p>
        </w:tc>
      </w:tr>
    </w:tbl>
    <w:p>
      <w:pPr>
        <w:pStyle w:val="NoSpacing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bookmarkStart w:id="0" w:name="n3"/>
      <w:bookmarkStart w:id="1" w:name="n46"/>
      <w:bookmarkEnd w:id="0"/>
      <w:bookmarkEnd w:id="1"/>
      <w:r>
        <w:rPr>
          <w:rStyle w:val="SubtleEmphasis"/>
          <w:rFonts w:cs="Times New Roman" w:ascii="Times New Roman" w:hAnsi="Times New Roman"/>
          <w:b/>
          <w:i w:val="false"/>
          <w:color w:val="00000A"/>
          <w:sz w:val="28"/>
          <w:szCs w:val="28"/>
          <w:lang w:val="ru-RU"/>
        </w:rPr>
        <w:t xml:space="preserve">Питання удосконалення державного регулювання цін на лікарські засоби </w:t>
      </w:r>
      <w:bookmarkStart w:id="2" w:name="n4"/>
      <w:bookmarkStart w:id="3" w:name="n39"/>
      <w:bookmarkEnd w:id="2"/>
      <w:bookmarkEnd w:id="3"/>
      <w:r>
        <w:rPr>
          <w:rStyle w:val="SubtleEmphasis"/>
          <w:rFonts w:cs="Times New Roman" w:ascii="Times New Roman" w:hAnsi="Times New Roman"/>
          <w:b/>
          <w:i w:val="false"/>
          <w:color w:val="00000A"/>
          <w:sz w:val="28"/>
          <w:szCs w:val="28"/>
          <w:lang w:val="ru-RU"/>
        </w:rPr>
        <w:t xml:space="preserve">, що включені до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Національного переліку основних лікарських засобів</w:t>
      </w:r>
    </w:p>
    <w:p>
      <w:pPr>
        <w:pStyle w:val="NoSpacing"/>
        <w:jc w:val="both"/>
        <w:rPr>
          <w:rFonts w:cs="Times New Roman" w:ascii="Times New Roman" w:hAnsi="Times New Roman"/>
          <w:b/>
          <w:i w:val="false"/>
          <w:color w:val="00000A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 w:val="false"/>
          <w:color w:val="00000A"/>
          <w:sz w:val="28"/>
          <w:szCs w:val="28"/>
          <w:lang w:val="ru-RU"/>
        </w:rPr>
      </w:r>
    </w:p>
    <w:p>
      <w:pPr>
        <w:pStyle w:val="Normal"/>
        <w:spacing w:lineRule="auto" w:line="240" w:before="0" w:after="150"/>
        <w:jc w:val="both"/>
        <w:rPr>
          <w:rFonts w:eastAsia="Times New Roman" w:cs="Times New Roman" w:ascii="Times New Roman" w:hAnsi="Times New Roman"/>
          <w:b/>
          <w:bCs/>
          <w:spacing w:val="3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Відповідно до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fldChar w:fldCharType="begin"/>
      </w:r>
      <w:r>
        <w:instrText> HYPERLINK "https://zakon.rada.gov.ua/laws/show/5007-17" \l "n38"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99"/>
          <w:sz w:val="28"/>
          <w:szCs w:val="28"/>
          <w:u w:val="single"/>
          <w:lang w:val="ru-RU"/>
        </w:rPr>
        <w:t>статей 5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і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fldChar w:fldCharType="begin"/>
      </w:r>
      <w:r>
        <w:instrText> HYPERLINK "https://zakon.rada.gov.ua/laws/show/5007-17" \l "n69"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99"/>
          <w:sz w:val="28"/>
          <w:szCs w:val="28"/>
          <w:u w:val="single"/>
          <w:lang w:val="ru-RU"/>
        </w:rPr>
        <w:t>13</w:t>
      </w:r>
      <w:r>
        <w:fldChar w:fldCharType="end"/>
      </w:r>
      <w:r>
        <w:rPr>
          <w:rStyle w:val="Style13"/>
          <w:rFonts w:eastAsia="Times New Roman" w:cs="Times New Roman" w:ascii="Times New Roman" w:hAnsi="Times New Roman"/>
          <w:color w:val="000099"/>
          <w:sz w:val="28"/>
          <w:szCs w:val="28"/>
          <w:u w:val="single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Закону України “Про ціни і ціноутворення” Кабінет Міністрів України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spacing w:val="30"/>
          <w:sz w:val="28"/>
          <w:szCs w:val="28"/>
          <w:lang w:val="ru-RU"/>
        </w:rPr>
        <w:t>постановляє: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</w:pPr>
      <w:bookmarkStart w:id="4" w:name="n5"/>
      <w:bookmarkEnd w:id="4"/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Запровадити з 1 січня   2021р. державне регулювання цін на лікарські засоби, включені до Національного переліку основних лікарських засобів, </w:t>
      </w: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  <w:t xml:space="preserve"> шляхом ре</w:t>
      </w: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uk-UA"/>
        </w:rPr>
        <w:t>є</w:t>
      </w: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  <w:t>страції цін</w:t>
      </w:r>
      <w:r>
        <w:rPr>
          <w:rStyle w:val="SubtleEmphasis"/>
          <w:rFonts w:cs="Times New Roman"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  <w:t>та</w:t>
      </w:r>
      <w:r>
        <w:rPr>
          <w:rStyle w:val="SubtleEmphasis"/>
          <w:rFonts w:cs="Times New Roman"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  <w:t>внесення цін до Державного реєстру лікарських засобів.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</w:pP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  <w:t>Установити, що:</w:t>
      </w:r>
    </w:p>
    <w:p>
      <w:pPr>
        <w:pStyle w:val="ListParagraph"/>
        <w:spacing w:before="120" w:after="16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ru-RU"/>
        </w:rPr>
        <w:t xml:space="preserve">1)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власники реєстраційних посвідчень на лікарські засоби, що знаходяться в затвердженому постановою Кабінету Міністрів України Національному переліку основних лікарських засобів, мають зареєструвати ціну, яка визначається на основі цін на ці лікарські засоби в референтних країнах, що отримані з офіційних джерел уповноважених державних органів цих країн. Зареєстрована в Україні ціна на лікарський засіб не може перевищувати ціни на цей лікарський засіб в референтних країнах; </w:t>
      </w:r>
    </w:p>
    <w:p>
      <w:pPr>
        <w:pStyle w:val="NoSpacing"/>
        <w:jc w:val="both"/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2) розрахунок граничних оптово-відпускних цін на лікарські засоби, включені до переліку, здійснюється у порядку, визначеному Міністерством охорони здоров’я. Перелік, реєстр граничних оптово-відпускних цін на деякі лікарські засоби, що включені до Національного переліку основних лікарських засобів, та які вносяться до Державного реєстру </w:t>
      </w: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uk-UA"/>
        </w:rPr>
        <w:t>лікарських засобів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та форма зазначеного реєстру затверджуються Міністерством охорони здоров’я ; </w:t>
      </w:r>
    </w:p>
    <w:p>
      <w:pPr>
        <w:pStyle w:val="NoSpacing"/>
        <w:jc w:val="both"/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NoSpacing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Style w:val="SubtleEmphasis"/>
          <w:rFonts w:cs="Times New Roman" w:ascii="Times New Roman" w:hAnsi="Times New Roman"/>
          <w:i w:val="false"/>
          <w:color w:val="00000A"/>
          <w:sz w:val="28"/>
          <w:szCs w:val="28"/>
          <w:lang w:val="uk-UA"/>
        </w:rPr>
        <w:t>3) ц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іни на лікарські засоби включені до Національного переліку основних лікарських засобів та які вносяться до Державного реєстру лікарських засобів формуються відповідно до встановлених граничних оптово-відпускних цін на них на основі цін на лікарські засоби, зареєстровані в Республіці Польща, Словацькій Республіці, Чеській Республіці, Латвійській Республіці, Угорщині (далі – основні референтні країни. У разі відсутності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трьох або більше значень оптово-відпускних цін кожної сили д) та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Республіці Болгарії, Литовській Республіці, Румунії,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Сербії, Республіці Молдові (додаткові референтні країни);</w:t>
      </w:r>
    </w:p>
    <w:p>
      <w:pPr>
        <w:pStyle w:val="ListParagraph"/>
        <w:spacing w:before="120" w:after="16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  <w:lang w:val="x-none"/>
        </w:rPr>
      </w:pPr>
      <w:bookmarkStart w:id="5" w:name="n6"/>
      <w:bookmarkEnd w:id="5"/>
      <w:r>
        <w:rPr>
          <w:rFonts w:cs="Times New Roman" w:ascii="Times New Roman" w:hAnsi="Times New Roman"/>
          <w:sz w:val="28"/>
          <w:szCs w:val="28"/>
          <w:lang w:val="uk-UA"/>
        </w:rPr>
        <w:t xml:space="preserve">4) 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власники чинних реєстраційних посвідчень на лікарські засоби мають внести відповідні зміни до матеріалів реєстраційних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досьє 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до 1 </w:t>
      </w:r>
      <w:r>
        <w:rPr>
          <w:rFonts w:cs="Times New Roman" w:ascii="Times New Roman" w:hAnsi="Times New Roman"/>
          <w:sz w:val="28"/>
          <w:szCs w:val="28"/>
          <w:lang w:val="uk-UA"/>
        </w:rPr>
        <w:t>січня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 202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 року.</w:t>
      </w:r>
    </w:p>
    <w:p>
      <w:pPr>
        <w:pStyle w:val="ListParagraph"/>
        <w:spacing w:before="120" w:after="16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  <w:lang w:val="x-none"/>
        </w:rPr>
      </w:pPr>
      <w:r>
        <w:rPr>
          <w:rFonts w:cs="Times New Roman" w:ascii="Times New Roman" w:hAnsi="Times New Roman"/>
          <w:sz w:val="28"/>
          <w:szCs w:val="28"/>
          <w:lang w:val="x-none"/>
        </w:rPr>
      </w:r>
    </w:p>
    <w:p>
      <w:pPr>
        <w:pStyle w:val="ListParagraph"/>
        <w:numPr>
          <w:ilvl w:val="0"/>
          <w:numId w:val="1"/>
        </w:numPr>
        <w:spacing w:before="120" w:after="16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Міністерству охорони здоров’</w:t>
      </w:r>
      <w:r>
        <w:rPr>
          <w:rFonts w:cs="Times New Roman" w:ascii="Times New Roman" w:hAnsi="Times New Roman"/>
          <w:sz w:val="28"/>
          <w:szCs w:val="28"/>
          <w:lang w:val="uk-UA"/>
        </w:rPr>
        <w:t>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України у двомісячний строк після набрання чинності цією постановою привести свої нормативно-правові акти у відповідність із цією постановою та забезпечити розробку та прийняття нових нормативно-правових актів.</w:t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120" w:after="160"/>
        <w:jc w:val="both"/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Прем’єр-міністр України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uk-UA"/>
        </w:rPr>
        <w:t xml:space="preserve">           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  <w:t xml:space="preserve"> Д. ШМИГАЛЬ</w:t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"/>
        <w:spacing w:before="120" w:after="160"/>
        <w:jc w:val="both"/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1D1D1B"/>
          <w:sz w:val="28"/>
          <w:szCs w:val="28"/>
          <w:shd w:fill="FFFFFF" w:val="clear"/>
          <w:lang w:val="ru-RU"/>
        </w:rPr>
      </w:r>
    </w:p>
    <w:p>
      <w:pPr>
        <w:pStyle w:val="NormalWeb"/>
        <w:shd w:fill="FFFFFF" w:val="clear"/>
        <w:spacing w:before="280" w:after="280"/>
        <w:jc w:val="center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ПОЯСНЮВАЛЬНА ЗАПИСКА</w:t>
      </w:r>
    </w:p>
    <w:p>
      <w:pPr>
        <w:pStyle w:val="NormalWeb"/>
        <w:shd w:fill="FFFFFF" w:val="clear"/>
        <w:spacing w:before="280" w:after="280"/>
        <w:jc w:val="center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до проекту постанови Кабінету міністрів України</w:t>
      </w:r>
    </w:p>
    <w:p>
      <w:pPr>
        <w:pStyle w:val="NoSpacing"/>
        <w:jc w:val="center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«</w:t>
      </w:r>
      <w:r>
        <w:rPr>
          <w:rStyle w:val="SubtleEmphasis"/>
          <w:rFonts w:cs="Times New Roman" w:ascii="Times New Roman" w:hAnsi="Times New Roman"/>
          <w:b/>
          <w:i w:val="false"/>
          <w:color w:val="00000A"/>
          <w:sz w:val="28"/>
          <w:szCs w:val="28"/>
          <w:lang w:val="ru-RU"/>
        </w:rPr>
        <w:t xml:space="preserve">Питання удосконалення державного регулювання цін на лікарські засоби , що включені до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Національного переліку основних лікарських засобів</w:t>
      </w:r>
      <w:r>
        <w:rPr>
          <w:rStyle w:val="Bold"/>
          <w:b/>
          <w:bCs/>
          <w:sz w:val="28"/>
          <w:szCs w:val="28"/>
          <w:lang w:val="ru-RU"/>
        </w:rPr>
        <w:t>»</w:t>
      </w:r>
    </w:p>
    <w:p>
      <w:pPr>
        <w:pStyle w:val="NormalWeb"/>
        <w:shd w:fill="FFFFFF" w:val="clear"/>
        <w:spacing w:before="280" w:after="28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Мета: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підвищення доступності лікарських засобів, що включені до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Національного переліку основних лікарських засобів та які можуть закуповуватися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бюджетні кошти.</w:t>
      </w:r>
    </w:p>
    <w:p>
      <w:pPr>
        <w:pStyle w:val="NormalWeb"/>
        <w:numPr>
          <w:ilvl w:val="0"/>
          <w:numId w:val="2"/>
        </w:numPr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shd w:fill="FFFFFF" w:val="clear"/>
          <w:lang w:val="ru-RU"/>
        </w:rPr>
        <w:t>Резюме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постанови розробляється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власною ініціативою Міністерства охорони здоров’я України.</w:t>
      </w:r>
    </w:p>
    <w:p>
      <w:pPr>
        <w:pStyle w:val="NormalWeb"/>
        <w:shd w:fill="FFFFFF" w:val="clear"/>
        <w:spacing w:before="280" w:after="280"/>
        <w:jc w:val="both"/>
        <w:rPr>
          <w:b/>
          <w:bCs/>
          <w:sz w:val="28"/>
          <w:szCs w:val="28"/>
          <w:shd w:fill="FFFFFF" w:val="clear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 xml:space="preserve">2. </w:t>
      </w:r>
      <w:r>
        <w:rPr>
          <w:b/>
          <w:bCs/>
          <w:sz w:val="28"/>
          <w:szCs w:val="28"/>
          <w:shd w:fill="FFFFFF" w:val="clear"/>
          <w:lang w:val="ru-RU"/>
        </w:rPr>
        <w:t>Проблема, яка потребує розв’язання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Погіршення економічної та соціальної ситуації в країні </w:t>
      </w:r>
      <w:r>
        <w:rPr>
          <w:rFonts w:ascii="Georgia" w:hAnsi="Georgia"/>
          <w:sz w:val="26"/>
          <w:szCs w:val="26"/>
          <w:shd w:fill="FFFFFF" w:val="clear"/>
          <w:lang w:val="ru-RU"/>
        </w:rPr>
        <w:t>через пандемічну коронавірусну інфекцію</w:t>
      </w:r>
      <w:r>
        <w:rPr>
          <w:rFonts w:ascii="Georgia" w:hAnsi="Georgia"/>
          <w:sz w:val="26"/>
          <w:szCs w:val="26"/>
          <w:shd w:fill="FFFFFF" w:val="clear"/>
        </w:rPr>
        <w:t> </w:t>
      </w:r>
      <w:r>
        <w:rPr>
          <w:rFonts w:ascii="Georgia" w:hAnsi="Georgia"/>
          <w:sz w:val="26"/>
          <w:szCs w:val="26"/>
          <w:shd w:fill="FFFFFF" w:val="clear"/>
          <w:lang w:val="uk-UA"/>
        </w:rPr>
        <w:t xml:space="preserve"> та карантинні обмеження, збільшення безробіття призвело до падіння купівельної спроможності населення країни, що значно знизило доступність всіх верств населення, особливо самих незахищених, до повноцінного та ефективного лікування. У зв’язку з цим  виникла гостра необхідність створення умов для</w:t>
      </w:r>
      <w:r>
        <w:rPr>
          <w:sz w:val="28"/>
          <w:szCs w:val="28"/>
          <w:lang w:val="uk-UA"/>
        </w:rPr>
        <w:t xml:space="preserve"> підвищення доступності для населення країни лікарських засобів, що включені до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Національного переліку основних лікарських засобів (далі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— Національний перелік). </w:t>
      </w:r>
    </w:p>
    <w:p>
      <w:pPr>
        <w:pStyle w:val="NormalWeb"/>
        <w:shd w:fill="FFFFFF" w:val="clear"/>
        <w:spacing w:before="280" w:after="28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даної мети необхідно терміново вжити дієвих заходів щодо забезпечення встановлення максимально допустимих цін на весь перелік лікарських засобів, щодо яких запроваджено механізм референтного ціноутворення та які включені до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Національного переліку шляхом внесення референтних цін до реєстраційного дос’є.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сьогодні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України існує ситуація, коли ціни на лікарські засоби інколи у рази перевищують ціни в інших країнах. Так наприклад: задекларована в Україні ціна на онкопрепарат AMPHOTERICINUM B становить 3235,41грн., тоді як в референтних країнах середня вартість даного препарату складає 1552,26грн., тобто більше ніж у два рази; задекларована в Україні ціна на Бендамустин ампули, флакони, шприци 100 мг – 6325,00 грн., в референтних країнах - 2181,30 грн. , тобто в Україні ціна на даних препарат у три рази вища. І такі приклади, нажаль, непоодинокі.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чином, очікується, що запровадження реєстрації цін шляхом референтного ціноутворення щодо повного списку препаратів, включених до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Національного переліку, забезпечить зниження цін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такі лікарські засоби та, відповідно, сприятиме підвищенню їх фізичній доступності для пацієнтів.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цьому розрахунок граничних оптово-відпускних цін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діючі речовини, що включено до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програми реімбурсації, буде здійснюватись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механізмом зовнішнього референтного ціноутворення, встановленим МОЗ України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3. Суть проекту акта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постанови пропонується:</w:t>
      </w:r>
    </w:p>
    <w:p>
      <w:pPr>
        <w:pStyle w:val="Normal"/>
        <w:shd w:fill="FFFFFF" w:val="clear"/>
        <w:spacing w:lineRule="auto" w:line="240" w:beforeAutospacing="1" w:afterAutospacing="1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запровадити референте ціноутворення на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лікарські засоби, включені до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Національного переліку.</w:t>
      </w:r>
    </w:p>
    <w:p>
      <w:pPr>
        <w:pStyle w:val="Normal"/>
        <w:shd w:fill="FFFFFF" w:val="clear"/>
        <w:spacing w:lineRule="auto" w:line="240" w:beforeAutospacing="1" w:afterAutospacing="1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скасувати механізм декларування зміни оптово-відпускних цін на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лікарські засоби, що закуповуються за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бюджетні кошти;</w:t>
      </w:r>
    </w:p>
    <w:p>
      <w:pPr>
        <w:pStyle w:val="Normal"/>
        <w:shd w:fill="FFFFFF" w:val="clear"/>
        <w:spacing w:lineRule="auto" w:line="240" w:beforeAutospacing="1" w:afterAutospacing="1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здійснити перехід на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державне регулювання граничних рівнів торгівельних (роздрібних) надбавок.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4. Вплив на</w:t>
      </w:r>
      <w:r>
        <w:rPr>
          <w:rStyle w:val="Bold"/>
          <w:b/>
          <w:bCs/>
          <w:sz w:val="28"/>
          <w:szCs w:val="28"/>
        </w:rPr>
        <w:t> </w:t>
      </w:r>
      <w:r>
        <w:rPr>
          <w:rStyle w:val="Bold"/>
          <w:b/>
          <w:bCs/>
          <w:sz w:val="28"/>
          <w:szCs w:val="28"/>
          <w:lang w:val="ru-RU"/>
        </w:rPr>
        <w:t>бюджет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Реалізація положень проєкту акта не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потребує виділення додаткових коштів з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Державного бюджету України.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5. Позиція заінтересованих сторін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Проєкт акта не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Проєкт акта не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стосується сфери наукової та науково-технічної діяльності.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 впливу додається.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6. Прогноз впливу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Реалізація проєкту акта дозволить забезпечити економічну доступність населення України до ефективних та якісних лікарських засобів і як наслідок, до ефективного  лікування.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7. Позиція заінтересованих органів.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Проєкт акта потребує погодження з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Державною регуляторною службою України, Державною службою України з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лікарських засобів та контролю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наркотиками, Міністерством фінансів України, Міністерством розвитку економіки, торгівлі та сільського господарства України та потребує здійснення правової експертизи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Міністерстві юстиції України.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8. Ризики та обмеження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проєкті акта відсутні положення, які порушують принцип забезпечення рівних прав та можливостей жінок і чоловіків.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Проєкт акта направлений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мінімізацію ризиків вчинення корупційних правопорушень.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Положення проєкту акта не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містять ознаки дискримінації. Проєкт акта не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потребує проведення громадської антидискримінаційної експертизи.</w:t>
      </w:r>
    </w:p>
    <w:p>
      <w:pPr>
        <w:pStyle w:val="NormalWeb"/>
        <w:shd w:fill="FFFFFF" w:val="clear"/>
        <w:spacing w:before="280" w:after="280"/>
        <w:jc w:val="both"/>
        <w:rPr>
          <w:rStyle w:val="Bold"/>
          <w:b/>
          <w:bCs/>
          <w:sz w:val="28"/>
          <w:szCs w:val="28"/>
          <w:lang w:val="ru-RU"/>
        </w:rPr>
      </w:pPr>
      <w:r>
        <w:rPr>
          <w:rStyle w:val="Bold"/>
          <w:b/>
          <w:bCs/>
          <w:sz w:val="28"/>
          <w:szCs w:val="28"/>
          <w:lang w:val="ru-RU"/>
        </w:rPr>
        <w:t>9. Підстава розроблення проєкту акта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Проєкт акта розроблено для врегулювання питання забезпечення економічної доступності населення до ефективних, безпечних </w:t>
      </w:r>
      <w:bookmarkStart w:id="6" w:name="_GoBack"/>
      <w:bookmarkEnd w:id="6"/>
      <w:r>
        <w:rPr>
          <w:sz w:val="28"/>
          <w:szCs w:val="28"/>
          <w:lang w:val="ru-RU"/>
        </w:rPr>
        <w:t>та якісних лікарських засобів.</w:t>
      </w:r>
    </w:p>
    <w:sectPr>
      <w:headerReference w:type="default" r:id="rId2"/>
      <w:type w:val="nextPage"/>
      <w:pgSz w:w="12240" w:h="15840"/>
      <w:pgMar w:left="1418" w:right="900" w:header="708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4">
    <w:name w:val="Заголовок 4"/>
    <w:uiPriority w:val="9"/>
    <w:qFormat/>
    <w:link w:val="40"/>
    <w:rsid w:val="0086333f"/>
    <w:basedOn w:val="Normal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uiPriority w:val="9"/>
    <w:link w:val="4"/>
    <w:rsid w:val="0086333f"/>
    <w:basedOn w:val="DefaultParagraphFont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Rvts0" w:customStyle="1">
    <w:name w:val="rvts0"/>
    <w:rsid w:val="0086333f"/>
    <w:basedOn w:val="DefaultParagraphFont"/>
    <w:rPr/>
  </w:style>
  <w:style w:type="character" w:styleId="Rvts23" w:customStyle="1">
    <w:name w:val="rvts23"/>
    <w:rsid w:val="0086333f"/>
    <w:basedOn w:val="DefaultParagraphFont"/>
    <w:rPr/>
  </w:style>
  <w:style w:type="character" w:styleId="Rvts64" w:customStyle="1">
    <w:name w:val="rvts64"/>
    <w:rsid w:val="0086333f"/>
    <w:basedOn w:val="DefaultParagraphFont"/>
    <w:rPr/>
  </w:style>
  <w:style w:type="character" w:styleId="Rvts9" w:customStyle="1">
    <w:name w:val="rvts9"/>
    <w:rsid w:val="0086333f"/>
    <w:basedOn w:val="DefaultParagraphFont"/>
    <w:rPr/>
  </w:style>
  <w:style w:type="character" w:styleId="Rvts48" w:customStyle="1">
    <w:name w:val="rvts48"/>
    <w:rsid w:val="0086333f"/>
    <w:basedOn w:val="DefaultParagraphFont"/>
    <w:rPr/>
  </w:style>
  <w:style w:type="character" w:styleId="Style13">
    <w:name w:val="Интернет-ссылка"/>
    <w:uiPriority w:val="99"/>
    <w:semiHidden/>
    <w:unhideWhenUsed/>
    <w:rsid w:val="0086333f"/>
    <w:basedOn w:val="DefaultParagraphFont"/>
    <w:rPr>
      <w:color w:val="0000FF"/>
      <w:u w:val="single"/>
      <w:lang w:val="zxx" w:eastAsia="zxx" w:bidi="zxx"/>
    </w:rPr>
  </w:style>
  <w:style w:type="character" w:styleId="Rvts52" w:customStyle="1">
    <w:name w:val="rvts52"/>
    <w:rsid w:val="0086333f"/>
    <w:basedOn w:val="DefaultParagraphFont"/>
    <w:rPr/>
  </w:style>
  <w:style w:type="character" w:styleId="Rvts46" w:customStyle="1">
    <w:name w:val="rvts46"/>
    <w:rsid w:val="0086333f"/>
    <w:basedOn w:val="DefaultParagraphFont"/>
    <w:rPr/>
  </w:style>
  <w:style w:type="character" w:styleId="Rvts44" w:customStyle="1">
    <w:name w:val="rvts44"/>
    <w:rsid w:val="0086333f"/>
    <w:basedOn w:val="DefaultParagraphFont"/>
    <w:rPr/>
  </w:style>
  <w:style w:type="character" w:styleId="Rvts82" w:customStyle="1">
    <w:name w:val="rvts82"/>
    <w:rsid w:val="0086333f"/>
    <w:basedOn w:val="DefaultParagraphFont"/>
    <w:rPr/>
  </w:style>
  <w:style w:type="character" w:styleId="Style14" w:customStyle="1">
    <w:name w:val="Название Знак"/>
    <w:uiPriority w:val="10"/>
    <w:link w:val="a5"/>
    <w:rsid w:val="0086333f"/>
    <w:basedOn w:val="DefaultParagraphFont"/>
    <w:rPr>
      <w:rFonts w:ascii="Calibri Light" w:hAnsi="Calibri Light" w:cs=""/>
      <w:spacing w:val="-10"/>
      <w:sz w:val="56"/>
      <w:szCs w:val="56"/>
    </w:rPr>
  </w:style>
  <w:style w:type="character" w:styleId="SubtleEmphasis">
    <w:name w:val="Subtle Emphasis"/>
    <w:uiPriority w:val="19"/>
    <w:qFormat/>
    <w:rsid w:val="0086333f"/>
    <w:basedOn w:val="DefaultParagraphFont"/>
    <w:rPr>
      <w:i/>
      <w:iCs/>
      <w:color w:val="404040"/>
    </w:rPr>
  </w:style>
  <w:style w:type="character" w:styleId="Rvts40" w:customStyle="1">
    <w:name w:val="rvts40"/>
    <w:rsid w:val="00574490"/>
    <w:basedOn w:val="DefaultParagraphFont"/>
    <w:rPr/>
  </w:style>
  <w:style w:type="character" w:styleId="Rvts15" w:customStyle="1">
    <w:name w:val="rvts15"/>
    <w:rsid w:val="00574490"/>
    <w:basedOn w:val="DefaultParagraphFont"/>
    <w:rPr/>
  </w:style>
  <w:style w:type="character" w:styleId="Strong">
    <w:name w:val="Strong"/>
    <w:uiPriority w:val="22"/>
    <w:qFormat/>
    <w:rsid w:val="00bf4e13"/>
    <w:basedOn w:val="DefaultParagraphFont"/>
    <w:rPr>
      <w:b/>
      <w:bCs/>
    </w:rPr>
  </w:style>
  <w:style w:type="character" w:styleId="Bold" w:customStyle="1">
    <w:name w:val="bold"/>
    <w:rsid w:val="00570b4d"/>
    <w:basedOn w:val="DefaultParagraphFont"/>
    <w:rPr/>
  </w:style>
  <w:style w:type="character" w:styleId="Style15">
    <w:name w:val="Выделение"/>
    <w:uiPriority w:val="20"/>
    <w:qFormat/>
    <w:rsid w:val="00f72336"/>
    <w:basedOn w:val="DefaultParagraphFont"/>
    <w:rPr>
      <w:i/>
      <w:iCs/>
    </w:rPr>
  </w:style>
  <w:style w:type="character" w:styleId="Pullright" w:customStyle="1">
    <w:name w:val="pull-right"/>
    <w:rsid w:val="00f72336"/>
    <w:basedOn w:val="DefaultParagraphFont"/>
    <w:rPr/>
  </w:style>
  <w:style w:type="character" w:styleId="Style16" w:customStyle="1">
    <w:name w:val="Верхний колонтитул Знак"/>
    <w:uiPriority w:val="99"/>
    <w:link w:val="ac"/>
    <w:rsid w:val="00a62d4e"/>
    <w:basedOn w:val="DefaultParagraphFont"/>
    <w:rPr/>
  </w:style>
  <w:style w:type="character" w:styleId="Style17" w:customStyle="1">
    <w:name w:val="Нижний колонтитул Знак"/>
    <w:uiPriority w:val="99"/>
    <w:link w:val="ae"/>
    <w:rsid w:val="00a62d4e"/>
    <w:basedOn w:val="DefaultParagraphFont"/>
    <w:rPr/>
  </w:style>
  <w:style w:type="character" w:styleId="Style18" w:customStyle="1">
    <w:name w:val="Текст выноски Знак"/>
    <w:uiPriority w:val="99"/>
    <w:semiHidden/>
    <w:link w:val="af0"/>
    <w:rsid w:val="00a62d4e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cs="Courier New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Rvps17" w:customStyle="1">
    <w:name w:val="rvps17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7" w:customStyle="1">
    <w:name w:val="rvps7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12" w:customStyle="1">
    <w:name w:val="rvps12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6" w:customStyle="1">
    <w:name w:val="rvps6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18" w:customStyle="1">
    <w:name w:val="rvps18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2" w:customStyle="1">
    <w:name w:val="rvps2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4" w:customStyle="1">
    <w:name w:val="rvps4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15" w:customStyle="1">
    <w:name w:val="rvps15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Rvps14" w:customStyle="1">
    <w:name w:val="rvps14"/>
    <w:rsid w:val="0086333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8633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Style24">
    <w:name w:val="Заглавие"/>
    <w:uiPriority w:val="10"/>
    <w:qFormat/>
    <w:link w:val="a6"/>
    <w:rsid w:val="0086333f"/>
    <w:basedOn w:val="Normal"/>
    <w:pPr>
      <w:spacing w:lineRule="auto" w:line="240" w:before="0" w:after="0"/>
      <w:contextualSpacing/>
    </w:pPr>
    <w:rPr>
      <w:rFonts w:ascii="Calibri Light" w:hAnsi="Calibri Light" w:cs=""/>
      <w:spacing w:val="-10"/>
      <w:sz w:val="56"/>
      <w:szCs w:val="56"/>
    </w:rPr>
  </w:style>
  <w:style w:type="paragraph" w:styleId="ListParagraph">
    <w:name w:val="List Paragraph"/>
    <w:uiPriority w:val="34"/>
    <w:qFormat/>
    <w:rsid w:val="00bf4e13"/>
    <w:basedOn w:val="Normal"/>
    <w:pPr>
      <w:spacing w:before="0" w:after="16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570b4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ignmoz" w:customStyle="1">
    <w:name w:val="sign_moz"/>
    <w:rsid w:val="00f7233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Верхний колонтитул"/>
    <w:uiPriority w:val="99"/>
    <w:unhideWhenUsed/>
    <w:link w:val="ad"/>
    <w:rsid w:val="00a62d4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uiPriority w:val="99"/>
    <w:unhideWhenUsed/>
    <w:link w:val="af"/>
    <w:rsid w:val="00a62d4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f1"/>
    <w:rsid w:val="00a62d4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2020-06-22T10:15:00Z</dcterms:created>
  <dc:creator>Светлана Сергеевна</dc:creator>
  <dc:language>uk-UA</dc:language>
  <cp:lastModifiedBy>Свердан Татьяна</cp:lastModifiedBy>
  <cp:lastPrinted>2020-06-22T10:25:00Z</cp:lastPrinted>
  <dcterms:modified xsi:type="dcterms:W3CDTF">2020-06-22T10:34:00Z</dcterms:modified>
  <cp:revision>4</cp:revision>
</cp:coreProperties>
</file>