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ind w:left="5387" w:right="0" w:hanging="0"/>
        <w:jc w:val="right"/>
        <w:rPr>
          <w:rFonts w:cs="Times New Roman" w:ascii="Times New Roman" w:hAnsi="Times New Roman"/>
          <w:i/>
          <w:sz w:val="28"/>
          <w:szCs w:val="28"/>
        </w:rPr>
      </w:pPr>
      <w:r>
        <w:rPr>
          <w:rFonts w:cs="Times New Roman" w:ascii="Times New Roman" w:hAnsi="Times New Roman"/>
          <w:i/>
          <w:sz w:val="28"/>
          <w:szCs w:val="28"/>
        </w:rPr>
        <w:t>Проект</w:t>
      </w:r>
    </w:p>
    <w:p>
      <w:pPr>
        <w:pStyle w:val="Normal"/>
        <w:spacing w:before="0" w:after="0"/>
        <w:ind w:left="5387" w:right="0" w:hanging="0"/>
        <w:jc w:val="both"/>
        <w:rPr>
          <w:rFonts w:cs="Times New Roman" w:ascii="Times New Roman" w:hAnsi="Times New Roman"/>
          <w:sz w:val="28"/>
          <w:szCs w:val="28"/>
        </w:rPr>
      </w:pPr>
      <w:r>
        <w:rPr>
          <w:rFonts w:cs="Times New Roman" w:ascii="Times New Roman" w:hAnsi="Times New Roman"/>
          <w:sz w:val="28"/>
          <w:szCs w:val="28"/>
        </w:rPr>
        <w:t>ЗАТВЕРДЖЕНО</w:t>
      </w:r>
    </w:p>
    <w:p>
      <w:pPr>
        <w:pStyle w:val="Normal"/>
        <w:spacing w:before="0" w:after="0"/>
        <w:ind w:left="5387" w:right="0" w:hanging="0"/>
        <w:jc w:val="both"/>
        <w:rPr>
          <w:rFonts w:cs="Times New Roman" w:ascii="Times New Roman" w:hAnsi="Times New Roman"/>
          <w:sz w:val="28"/>
          <w:szCs w:val="28"/>
        </w:rPr>
      </w:pPr>
      <w:r>
        <w:rPr>
          <w:rFonts w:cs="Times New Roman" w:ascii="Times New Roman" w:hAnsi="Times New Roman"/>
          <w:sz w:val="28"/>
          <w:szCs w:val="28"/>
        </w:rPr>
        <w:t>Наказ Міністерства охорони здоров’я України</w:t>
      </w:r>
    </w:p>
    <w:p>
      <w:pPr>
        <w:pStyle w:val="Normal"/>
        <w:spacing w:before="0" w:after="0"/>
        <w:ind w:left="5387" w:right="0" w:hanging="0"/>
        <w:jc w:val="both"/>
        <w:rPr>
          <w:rFonts w:cs="Times New Roman" w:ascii="Times New Roman" w:hAnsi="Times New Roman"/>
          <w:sz w:val="28"/>
          <w:szCs w:val="28"/>
        </w:rPr>
      </w:pPr>
      <w:r>
        <w:rPr>
          <w:rFonts w:cs="Times New Roman" w:ascii="Times New Roman" w:hAnsi="Times New Roman"/>
          <w:sz w:val="28"/>
          <w:szCs w:val="28"/>
        </w:rPr>
        <w:t>від                   2020 року № _____</w:t>
      </w:r>
    </w:p>
    <w:p>
      <w:pPr>
        <w:pStyle w:val="Normal"/>
        <w:spacing w:before="0" w:after="0"/>
        <w:ind w:left="5387" w:right="0" w:hanging="0"/>
        <w:jc w:val="both"/>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b/>
          <w:sz w:val="28"/>
          <w:szCs w:val="28"/>
        </w:rPr>
      </w:pPr>
      <w:r>
        <w:rPr>
          <w:rFonts w:cs="Times New Roman" w:ascii="Times New Roman" w:hAnsi="Times New Roman"/>
          <w:b/>
          <w:sz w:val="28"/>
          <w:szCs w:val="28"/>
        </w:rPr>
      </w:r>
    </w:p>
    <w:p>
      <w:pPr>
        <w:pStyle w:val="Normal"/>
        <w:jc w:val="center"/>
        <w:rPr>
          <w:rFonts w:cs="Times New Roman" w:ascii="Times New Roman" w:hAnsi="Times New Roman"/>
          <w:b/>
          <w:sz w:val="28"/>
          <w:szCs w:val="28"/>
        </w:rPr>
      </w:pPr>
      <w:r>
        <w:rPr>
          <w:rFonts w:cs="Times New Roman" w:ascii="Times New Roman" w:hAnsi="Times New Roman"/>
          <w:b/>
          <w:sz w:val="28"/>
          <w:szCs w:val="28"/>
        </w:rPr>
      </w:r>
    </w:p>
    <w:p>
      <w:pPr>
        <w:pStyle w:val="Normal"/>
        <w:jc w:val="center"/>
        <w:rPr>
          <w:rFonts w:cs="Times New Roman" w:ascii="Times New Roman" w:hAnsi="Times New Roman"/>
          <w:b/>
          <w:sz w:val="28"/>
          <w:szCs w:val="28"/>
        </w:rPr>
      </w:pPr>
      <w:r>
        <w:rPr>
          <w:rFonts w:cs="Times New Roman" w:ascii="Times New Roman" w:hAnsi="Times New Roman"/>
          <w:b/>
          <w:sz w:val="28"/>
          <w:szCs w:val="28"/>
        </w:rPr>
      </w:r>
    </w:p>
    <w:p>
      <w:pPr>
        <w:pStyle w:val="Normal"/>
        <w:jc w:val="center"/>
        <w:rPr>
          <w:rFonts w:cs="Times New Roman" w:ascii="Times New Roman" w:hAnsi="Times New Roman"/>
          <w:b/>
          <w:sz w:val="28"/>
          <w:szCs w:val="28"/>
        </w:rPr>
      </w:pPr>
      <w:r>
        <w:rPr>
          <w:rFonts w:cs="Times New Roman" w:ascii="Times New Roman" w:hAnsi="Times New Roman"/>
          <w:b/>
          <w:sz w:val="28"/>
          <w:szCs w:val="28"/>
        </w:rPr>
      </w:r>
    </w:p>
    <w:p>
      <w:pPr>
        <w:pStyle w:val="Normal"/>
        <w:jc w:val="center"/>
        <w:rPr>
          <w:rFonts w:cs="Times New Roman" w:ascii="Times New Roman" w:hAnsi="Times New Roman"/>
          <w:b/>
          <w:sz w:val="28"/>
          <w:szCs w:val="28"/>
        </w:rPr>
      </w:pPr>
      <w:r>
        <w:rPr>
          <w:rFonts w:cs="Times New Roman" w:ascii="Times New Roman" w:hAnsi="Times New Roman"/>
          <w:b/>
          <w:sz w:val="28"/>
          <w:szCs w:val="28"/>
        </w:rPr>
      </w:r>
    </w:p>
    <w:p>
      <w:pPr>
        <w:pStyle w:val="Normal"/>
        <w:jc w:val="center"/>
        <w:rPr>
          <w:rFonts w:cs="Times New Roman" w:ascii="Times New Roman" w:hAnsi="Times New Roman"/>
          <w:b/>
          <w:sz w:val="28"/>
          <w:szCs w:val="28"/>
        </w:rPr>
      </w:pPr>
      <w:r>
        <w:rPr>
          <w:rFonts w:cs="Times New Roman" w:ascii="Times New Roman" w:hAnsi="Times New Roman"/>
          <w:b/>
          <w:sz w:val="28"/>
          <w:szCs w:val="28"/>
        </w:rPr>
      </w:r>
    </w:p>
    <w:p>
      <w:pPr>
        <w:pStyle w:val="Normal"/>
        <w:jc w:val="center"/>
        <w:rPr>
          <w:rFonts w:cs="Times New Roman" w:ascii="Times New Roman" w:hAnsi="Times New Roman"/>
          <w:b/>
          <w:sz w:val="28"/>
          <w:szCs w:val="28"/>
        </w:rPr>
      </w:pPr>
      <w:r>
        <w:rPr>
          <w:rFonts w:cs="Times New Roman" w:ascii="Times New Roman" w:hAnsi="Times New Roman"/>
          <w:b/>
          <w:sz w:val="28"/>
          <w:szCs w:val="28"/>
        </w:rPr>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Порядок</w:t>
      </w:r>
    </w:p>
    <w:p>
      <w:pPr>
        <w:pStyle w:val="Normal"/>
        <w:spacing w:lineRule="auto" w:line="240" w:before="0" w:after="0"/>
        <w:jc w:val="center"/>
        <w:rPr>
          <w:rFonts w:cs="Times New Roman" w:ascii="Times New Roman" w:hAnsi="Times New Roman"/>
          <w:b/>
          <w:sz w:val="28"/>
          <w:szCs w:val="28"/>
        </w:rPr>
      </w:pPr>
      <w:r>
        <w:rPr>
          <w:rFonts w:cs="Times New Roman" w:ascii="Times New Roman" w:hAnsi="Times New Roman"/>
          <w:b/>
          <w:sz w:val="28"/>
          <w:szCs w:val="28"/>
        </w:rPr>
        <w:t xml:space="preserve">розгляду документів, що надають заявники до Державного підприємства «Державний експертний центр Міністерства охорони здоров’я України» на період дії карантину з метою профілактичних та протиепідемічних заходів </w:t>
      </w:r>
    </w:p>
    <w:p>
      <w:pPr>
        <w:pStyle w:val="3"/>
        <w:jc w:val="center"/>
        <w:rPr>
          <w:sz w:val="28"/>
          <w:szCs w:val="28"/>
          <w:lang w:val="uk-UA"/>
        </w:rPr>
      </w:pPr>
      <w:r>
        <w:rPr>
          <w:sz w:val="28"/>
          <w:szCs w:val="28"/>
          <w:lang w:val="uk-UA"/>
        </w:rPr>
        <w:t>І. Загальні положення</w:t>
      </w:r>
    </w:p>
    <w:p>
      <w:pPr>
        <w:sectPr>
          <w:headerReference w:type="default" r:id="rId2"/>
          <w:type w:val="nextPage"/>
          <w:pgSz w:w="11906" w:h="16838"/>
          <w:pgMar w:left="1417" w:right="850" w:header="708" w:top="850" w:footer="0" w:bottom="850" w:gutter="0"/>
          <w:pgNumType w:fmt="decimal"/>
          <w:formProt w:val="false"/>
          <w:titlePg/>
          <w:textDirection w:val="lrTb"/>
          <w:docGrid w:type="default" w:linePitch="360" w:charSpace="4294965247"/>
        </w:sectPr>
        <w:pStyle w:val="Normal"/>
        <w:spacing w:lineRule="auto" w:line="240" w:before="0" w:after="0"/>
        <w:ind w:left="0" w:right="0" w:firstLine="567"/>
        <w:jc w:val="both"/>
        <w:rPr>
          <w:rFonts w:cs="Times New Roman" w:ascii="Times New Roman" w:hAnsi="Times New Roman"/>
          <w:bCs/>
          <w:color w:val="000000"/>
          <w:sz w:val="28"/>
          <w:szCs w:val="28"/>
          <w:shd w:fill="FFFFFF" w:val="clear"/>
        </w:rPr>
      </w:pPr>
      <w:r>
        <w:rPr>
          <w:rFonts w:cs="Times New Roman" w:ascii="Times New Roman" w:hAnsi="Times New Roman"/>
          <w:sz w:val="28"/>
          <w:szCs w:val="28"/>
        </w:rPr>
        <w:t xml:space="preserve">1. Порядок розгляду документів, що надають заявники до Державного підприємства «Державний експертний центр Міністерства охорони здоров’я України» на період дії карантину з метою профілактичних та протиепідемічних заходів (далі – Порядок) розроблений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Pr>
          <w:rFonts w:cs="Times New Roman" w:ascii="Times New Roman" w:hAnsi="Times New Roman"/>
          <w:sz w:val="28"/>
          <w:szCs w:val="28"/>
          <w:lang w:val="en-US"/>
        </w:rPr>
        <w:t>COVID</w:t>
      </w:r>
      <w:r>
        <w:rPr>
          <w:rFonts w:cs="Times New Roman" w:ascii="Times New Roman" w:hAnsi="Times New Roman"/>
          <w:sz w:val="28"/>
          <w:szCs w:val="28"/>
        </w:rPr>
        <w:t xml:space="preserve">-19» Закону України «Про лікарські засоби», постанови Кабінету Міністрів України від 11 березня 2020 року №211 «Про запобігання поширенню на території України гострої респіраторної хвороби </w:t>
      </w:r>
      <w:r>
        <w:rPr>
          <w:rFonts w:cs="Times New Roman" w:ascii="Times New Roman" w:hAnsi="Times New Roman"/>
          <w:sz w:val="28"/>
          <w:szCs w:val="28"/>
          <w:lang w:val="en-US"/>
        </w:rPr>
        <w:t>COVID</w:t>
      </w:r>
      <w:r>
        <w:rPr>
          <w:rFonts w:cs="Times New Roman" w:ascii="Times New Roman" w:hAnsi="Times New Roman"/>
          <w:sz w:val="28"/>
          <w:szCs w:val="28"/>
        </w:rPr>
        <w:t xml:space="preserve">-19 спричиненої коронавірусом </w:t>
      </w:r>
      <w:r>
        <w:rPr>
          <w:rFonts w:cs="Times New Roman" w:ascii="Times New Roman" w:hAnsi="Times New Roman"/>
          <w:sz w:val="28"/>
          <w:szCs w:val="28"/>
          <w:lang w:val="en-US"/>
        </w:rPr>
        <w:t>SARS</w:t>
      </w:r>
      <w:r>
        <w:rPr>
          <w:rFonts w:cs="Times New Roman" w:ascii="Times New Roman" w:hAnsi="Times New Roman"/>
          <w:sz w:val="28"/>
          <w:szCs w:val="28"/>
        </w:rPr>
        <w:t>-</w:t>
      </w:r>
      <w:r>
        <w:rPr>
          <w:rFonts w:cs="Times New Roman" w:ascii="Times New Roman" w:hAnsi="Times New Roman"/>
          <w:sz w:val="28"/>
          <w:szCs w:val="28"/>
          <w:lang w:val="en-US"/>
        </w:rPr>
        <w:t>CoV</w:t>
      </w:r>
      <w:r>
        <w:rPr>
          <w:rFonts w:cs="Times New Roman" w:ascii="Times New Roman" w:hAnsi="Times New Roman"/>
          <w:sz w:val="28"/>
          <w:szCs w:val="28"/>
        </w:rPr>
        <w:t xml:space="preserve">-2» (у редакції постанови Кабінету Міністрів України від 16 березня 2020 року № 215), наказу Міністерства охорони здоров’я України від 17.03.2020 № 672 «Про організацію роботи апарату Міністерства охорони здоров’я України, підприємств, установ і організацій, що належать до сфери його управління, на період дії карантину», </w:t>
      </w:r>
      <w:r>
        <w:rPr>
          <w:rFonts w:cs="Times New Roman" w:ascii="Times New Roman" w:hAnsi="Times New Roman"/>
          <w:bCs/>
          <w:color w:val="000000"/>
          <w:sz w:val="28"/>
          <w:szCs w:val="28"/>
          <w:shd w:fill="FFFFFF" w:val="clear"/>
        </w:rPr>
        <w:t>Порядку проведення експертизи 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затвердженого наказом МОЗ України від 26.08.2005 № 426 (у редакції наказу МОЗ України від 23.07.2015 № 460) (далі – Порядок № 426) та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 затвердженого наказом МОЗ України від 23.09.2009 № 690 (у редакції (у редакції наказу Міністерства охорони здоров’я України 12.07.2012 № 523) (далі - Порядок №690)</w:t>
      </w:r>
    </w:p>
    <w:p>
      <w:pPr>
        <w:pStyle w:val="Normal"/>
        <w:ind w:left="0" w:right="0" w:firstLine="567"/>
        <w:jc w:val="both"/>
        <w:rPr>
          <w:rFonts w:cs="Times New Roman" w:ascii="Times New Roman" w:hAnsi="Times New Roman"/>
          <w:sz w:val="28"/>
          <w:szCs w:val="28"/>
        </w:rPr>
      </w:pPr>
      <w:r>
        <w:rPr>
          <w:rFonts w:cs="Times New Roman" w:ascii="Times New Roman" w:hAnsi="Times New Roman"/>
          <w:sz w:val="28"/>
          <w:szCs w:val="28"/>
        </w:rPr>
        <w:t>2. Цей Порядок встановлює основні вимоги до процедури розгляду</w:t>
      </w:r>
      <w:r>
        <w:rPr>
          <w:rFonts w:cs="Times New Roman" w:ascii="Times New Roman" w:hAnsi="Times New Roman"/>
          <w:b/>
          <w:sz w:val="28"/>
          <w:szCs w:val="28"/>
        </w:rPr>
        <w:t xml:space="preserve"> </w:t>
      </w:r>
      <w:r>
        <w:rPr>
          <w:rFonts w:cs="Times New Roman" w:ascii="Times New Roman" w:hAnsi="Times New Roman"/>
          <w:sz w:val="28"/>
          <w:szCs w:val="28"/>
        </w:rPr>
        <w:t>документів, що надають заявники до Державного підприємства «Державний експертний центр Міністерства охорони здоров’я України» (далі - Центр) на період дії карантину з метою профілактичних та протиепідемічних заходів.</w:t>
      </w:r>
    </w:p>
    <w:p>
      <w:pPr>
        <w:pStyle w:val="Normal"/>
        <w:ind w:left="0" w:right="0" w:firstLine="567"/>
        <w:jc w:val="both"/>
        <w:rPr>
          <w:rFonts w:cs="Times New Roman" w:ascii="Times New Roman" w:hAnsi="Times New Roman"/>
          <w:bCs/>
          <w:color w:val="000000"/>
          <w:sz w:val="28"/>
          <w:szCs w:val="28"/>
          <w:shd w:fill="FFFFFF" w:val="clear"/>
        </w:rPr>
      </w:pPr>
      <w:r>
        <w:rPr>
          <w:rFonts w:cs="Times New Roman" w:ascii="Times New Roman" w:hAnsi="Times New Roman"/>
          <w:sz w:val="28"/>
          <w:szCs w:val="28"/>
        </w:rPr>
        <w:t>3. За бажанням заявника або з причин, пов</w:t>
      </w:r>
      <w:r>
        <w:rPr>
          <w:rFonts w:cs="Times New Roman" w:ascii="Times New Roman" w:hAnsi="Times New Roman"/>
          <w:sz w:val="28"/>
          <w:szCs w:val="28"/>
          <w:lang w:val="ru-RU"/>
        </w:rPr>
        <w:t>’язаних з необхідністю дотримання умов карантину,</w:t>
      </w:r>
      <w:r>
        <w:rPr>
          <w:rFonts w:cs="Times New Roman" w:ascii="Times New Roman" w:hAnsi="Times New Roman"/>
          <w:sz w:val="28"/>
          <w:szCs w:val="28"/>
        </w:rPr>
        <w:t xml:space="preserve"> Центром можуть бути відтерміновано строки експертних робіт, що встановлені </w:t>
      </w:r>
      <w:r>
        <w:rPr>
          <w:rFonts w:cs="Times New Roman" w:ascii="Times New Roman" w:hAnsi="Times New Roman"/>
          <w:bCs/>
          <w:color w:val="000000"/>
          <w:sz w:val="28"/>
          <w:szCs w:val="28"/>
          <w:shd w:fill="FFFFFF" w:val="clear"/>
        </w:rPr>
        <w:t>Порядком № 426.</w:t>
      </w:r>
    </w:p>
    <w:p>
      <w:pPr>
        <w:pStyle w:val="Normal"/>
        <w:ind w:left="0" w:right="0" w:firstLine="567"/>
        <w:jc w:val="both"/>
        <w:rPr>
          <w:rFonts w:cs="Times New Roman" w:ascii="Times New Roman" w:hAnsi="Times New Roman"/>
          <w:bCs/>
          <w:color w:val="000000"/>
          <w:sz w:val="28"/>
          <w:szCs w:val="28"/>
          <w:shd w:fill="FFFFFF" w:val="clear"/>
        </w:rPr>
      </w:pPr>
      <w:r>
        <w:rPr>
          <w:rFonts w:cs="Times New Roman" w:ascii="Times New Roman" w:hAnsi="Times New Roman"/>
          <w:bCs/>
          <w:color w:val="000000"/>
          <w:sz w:val="28"/>
          <w:szCs w:val="28"/>
          <w:shd w:fill="FFFFFF" w:val="clear"/>
        </w:rPr>
        <w:t xml:space="preserve">4. </w:t>
      </w:r>
      <w:r>
        <w:rPr>
          <w:rFonts w:cs="Times New Roman" w:ascii="Times New Roman" w:hAnsi="Times New Roman"/>
          <w:sz w:val="28"/>
          <w:szCs w:val="28"/>
        </w:rPr>
        <w:t xml:space="preserve">За бажанням заявника або з об’єктивних причин Центром можуть бути відтерміновано строки експертизи матеріалів щодо проведення клінічного випробування лікарського засобу та суттєвих поправок до матеріалів клінічного випробування лікарського засобу, що встановлені </w:t>
      </w:r>
      <w:r>
        <w:rPr>
          <w:rFonts w:cs="Times New Roman" w:ascii="Times New Roman" w:hAnsi="Times New Roman"/>
          <w:bCs/>
          <w:color w:val="000000"/>
          <w:sz w:val="28"/>
          <w:szCs w:val="28"/>
          <w:shd w:fill="FFFFFF" w:val="clear"/>
        </w:rPr>
        <w:t xml:space="preserve">Порядком № 690. </w:t>
      </w:r>
    </w:p>
    <w:p>
      <w:pPr>
        <w:pStyle w:val="Normal"/>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5. На період дії карантину пункти 1 та 2 Розділу </w:t>
      </w:r>
      <w:r>
        <w:rPr>
          <w:rFonts w:cs="Times New Roman" w:ascii="Times New Roman" w:hAnsi="Times New Roman"/>
          <w:sz w:val="28"/>
          <w:szCs w:val="28"/>
          <w:lang w:val="en-US"/>
        </w:rPr>
        <w:t>VIII</w:t>
      </w:r>
      <w:r>
        <w:rPr>
          <w:rFonts w:cs="Times New Roman" w:ascii="Times New Roman" w:hAnsi="Times New Roman"/>
          <w:sz w:val="28"/>
          <w:szCs w:val="28"/>
        </w:rPr>
        <w:t xml:space="preserve"> Порядку № 426 не застосовуються.</w:t>
      </w:r>
    </w:p>
    <w:p>
      <w:pPr>
        <w:pStyle w:val="Normal"/>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6. На період дії карантину оригінали реєстраційних посвідчень заявникам не видаються. Фактом державної реєстрації лікарського засобу є наявність відомостей про лікарський засіб у Державному реєстрі лікарських засобів, внесених на підставі наказу МОЗ України. Реєстраційні посвідчення будуть виданні заявнику після закінчення дії карантину. </w:t>
      </w:r>
    </w:p>
    <w:p>
      <w:pPr>
        <w:pStyle w:val="ListParagraph"/>
        <w:numPr>
          <w:ilvl w:val="0"/>
          <w:numId w:val="1"/>
        </w:numPr>
        <w:tabs>
          <w:tab w:val="left" w:pos="851" w:leader="none"/>
        </w:tabs>
        <w:ind w:left="0" w:right="0" w:hanging="360"/>
        <w:jc w:val="both"/>
        <w:rPr>
          <w:rFonts w:cs="Times New Roman" w:ascii="Times New Roman" w:hAnsi="Times New Roman"/>
          <w:bCs/>
          <w:color w:val="000000"/>
          <w:sz w:val="28"/>
          <w:szCs w:val="28"/>
          <w:shd w:fill="FFFFFF" w:val="clear"/>
        </w:rPr>
      </w:pPr>
      <w:r>
        <w:rPr>
          <w:rFonts w:cs="Times New Roman" w:ascii="Times New Roman" w:hAnsi="Times New Roman"/>
          <w:sz w:val="28"/>
          <w:szCs w:val="28"/>
        </w:rPr>
        <w:t xml:space="preserve">7. Окремі етапи робіт щодо експертизи </w:t>
      </w:r>
      <w:r>
        <w:rPr>
          <w:rFonts w:cs="Times New Roman" w:ascii="Times New Roman" w:hAnsi="Times New Roman"/>
          <w:bCs/>
          <w:color w:val="000000"/>
          <w:sz w:val="28"/>
          <w:szCs w:val="28"/>
          <w:shd w:fill="FFFFFF" w:val="clear"/>
        </w:rPr>
        <w:t xml:space="preserve">реєстраційних матеріалів на лікарські засоби, що подаються на державну реєстрацію (перереєстрацію), а також експертизи матеріалів про внесення змін до реєстраційних матеріалів протягом дії реєстраційного посвідчення та матеріалів клінічних випробувань здійснюються з використанням </w:t>
      </w:r>
      <w:r>
        <w:rPr>
          <w:rFonts w:cs="Times New Roman" w:ascii="Times New Roman" w:hAnsi="Times New Roman"/>
          <w:sz w:val="28"/>
          <w:szCs w:val="28"/>
        </w:rPr>
        <w:t>Єдиної інформаційної аналітичної системи Державного підприємства «Державний експертний центр Міністерства охорони здоров’я України» «Фармакорішення» (далі – система «Фармакорішення»), в тому числі отримання р</w:t>
      </w:r>
      <w:r>
        <w:rPr>
          <w:rFonts w:cs="Times New Roman" w:ascii="Times New Roman" w:hAnsi="Times New Roman"/>
          <w:bCs/>
          <w:color w:val="000000"/>
          <w:sz w:val="28"/>
          <w:szCs w:val="28"/>
          <w:shd w:fill="FFFFFF" w:val="clear"/>
        </w:rPr>
        <w:t>ахунку-специфікації на оплату експертних робіт (послуг), висновки експертів заявник отримує через вказану систему.</w:t>
      </w:r>
    </w:p>
    <w:p>
      <w:pPr>
        <w:pStyle w:val="3"/>
        <w:jc w:val="center"/>
        <w:rPr>
          <w:sz w:val="28"/>
          <w:szCs w:val="28"/>
          <w:lang w:val="uk-UA"/>
        </w:rPr>
      </w:pPr>
      <w:r>
        <w:rPr>
          <w:sz w:val="28"/>
          <w:szCs w:val="28"/>
          <w:lang w:val="uk-UA"/>
        </w:rPr>
        <w:t>ІІ. Загальні вимоги до подання документів до Центру</w:t>
      </w:r>
    </w:p>
    <w:p>
      <w:pPr>
        <w:pStyle w:val="Normal"/>
        <w:tabs>
          <w:tab w:val="left" w:pos="851" w:leader="none"/>
        </w:tabs>
        <w:jc w:val="both"/>
        <w:rPr>
          <w:rFonts w:cs="Times New Roman" w:ascii="Times New Roman" w:hAnsi="Times New Roman"/>
          <w:bCs/>
          <w:color w:val="000000"/>
          <w:sz w:val="28"/>
          <w:szCs w:val="28"/>
          <w:shd w:fill="FFFFFF" w:val="clear"/>
        </w:rPr>
      </w:pPr>
      <w:r>
        <w:rPr>
          <w:rFonts w:cs="Times New Roman" w:ascii="Times New Roman" w:hAnsi="Times New Roman"/>
          <w:sz w:val="28"/>
          <w:szCs w:val="28"/>
        </w:rPr>
        <w:t xml:space="preserve">1. Для проведення експертизи реєстраційних матеріалів, подача документів заявником/представником заявника, за наявності відповідного доручення, здійснюється за попереднім записом </w:t>
      </w:r>
      <w:r>
        <w:rPr>
          <w:rFonts w:cs="Times New Roman" w:ascii="Times New Roman" w:hAnsi="Times New Roman"/>
          <w:color w:val="212529"/>
          <w:sz w:val="28"/>
          <w:szCs w:val="28"/>
          <w:shd w:fill="FFFFFF" w:val="clear"/>
        </w:rPr>
        <w:t>шляхом надсилання інформації (</w:t>
      </w:r>
      <w:hyperlink r:id="rId3">
        <w:r>
          <w:rPr>
            <w:rStyle w:val="Style13"/>
            <w:rFonts w:cs="Times New Roman" w:ascii="Times New Roman" w:hAnsi="Times New Roman"/>
            <w:color w:val="00000A"/>
            <w:sz w:val="28"/>
            <w:szCs w:val="28"/>
            <w:u w:val="none"/>
            <w:shd w:fill="FFFFFF" w:val="clear"/>
          </w:rPr>
          <w:t xml:space="preserve">за </w:t>
        </w:r>
      </w:hyperlink>
      <w:r>
        <w:rPr>
          <w:rFonts w:cs="Times New Roman" w:ascii="Times New Roman" w:hAnsi="Times New Roman"/>
          <w:sz w:val="28"/>
          <w:szCs w:val="28"/>
          <w:shd w:fill="FFFFFF" w:val="clear"/>
        </w:rPr>
        <w:t>формою, наведеною у Додатку 1</w:t>
      </w:r>
      <w:r>
        <w:rPr>
          <w:rFonts w:cs="Times New Roman" w:ascii="Times New Roman" w:hAnsi="Times New Roman"/>
          <w:color w:val="212529"/>
          <w:sz w:val="28"/>
          <w:szCs w:val="28"/>
          <w:shd w:fill="FFFFFF" w:val="clear"/>
        </w:rPr>
        <w:t>) на електронну адресу:</w:t>
      </w:r>
      <w:r>
        <w:rPr>
          <w:rFonts w:cs="Times New Roman" w:ascii="Times New Roman" w:hAnsi="Times New Roman"/>
          <w:sz w:val="28"/>
          <w:szCs w:val="28"/>
        </w:rPr>
        <w:t xml:space="preserve"> </w:t>
      </w:r>
      <w:hyperlink r:id="rId4">
        <w:r>
          <w:rPr>
            <w:rStyle w:val="Style13"/>
            <w:rFonts w:cs="Times New Roman" w:ascii="Times New Roman" w:hAnsi="Times New Roman"/>
            <w:color w:val="0056B3"/>
            <w:sz w:val="28"/>
            <w:szCs w:val="28"/>
            <w:u w:val="single"/>
            <w:shd w:fill="FFFFFF" w:val="clear"/>
          </w:rPr>
          <w:t>voloshenkoi@dec.gov.ua</w:t>
        </w:r>
      </w:hyperlink>
      <w:r>
        <w:rPr>
          <w:rFonts w:cs="Times New Roman" w:ascii="Times New Roman" w:hAnsi="Times New Roman"/>
          <w:bCs/>
          <w:color w:val="000000"/>
          <w:sz w:val="28"/>
          <w:szCs w:val="28"/>
          <w:shd w:fill="FFFFFF" w:val="clear"/>
        </w:rPr>
        <w:t>.</w:t>
      </w:r>
    </w:p>
    <w:p>
      <w:pPr>
        <w:pStyle w:val="ListParagraph"/>
        <w:numPr>
          <w:ilvl w:val="0"/>
          <w:numId w:val="1"/>
        </w:numPr>
        <w:tabs>
          <w:tab w:val="left" w:pos="709" w:leader="none"/>
          <w:tab w:val="left" w:pos="851" w:leader="none"/>
        </w:tabs>
        <w:ind w:left="0" w:right="0" w:hanging="360"/>
        <w:jc w:val="both"/>
        <w:rPr>
          <w:rFonts w:cs="Times New Roman" w:ascii="Times New Roman" w:hAnsi="Times New Roman"/>
          <w:bCs/>
          <w:color w:val="000000"/>
          <w:sz w:val="28"/>
          <w:szCs w:val="28"/>
          <w:shd w:fill="FFFFFF" w:val="clear"/>
        </w:rPr>
      </w:pPr>
      <w:r>
        <w:rPr>
          <w:rFonts w:cs="Times New Roman" w:ascii="Times New Roman" w:hAnsi="Times New Roman"/>
          <w:bCs/>
          <w:color w:val="000000"/>
          <w:sz w:val="28"/>
          <w:szCs w:val="28"/>
          <w:shd w:fill="FFFFFF" w:val="clear"/>
        </w:rPr>
        <w:t>Для скорочення терміну перебування в Центрі заявника/</w:t>
      </w:r>
      <w:r>
        <w:rPr>
          <w:rFonts w:cs="Times New Roman" w:ascii="Times New Roman" w:hAnsi="Times New Roman"/>
          <w:sz w:val="28"/>
          <w:szCs w:val="28"/>
        </w:rPr>
        <w:t>представника заявника,</w:t>
      </w:r>
      <w:r>
        <w:rPr>
          <w:rFonts w:cs="Times New Roman" w:ascii="Times New Roman" w:hAnsi="Times New Roman"/>
          <w:bCs/>
          <w:color w:val="000000"/>
          <w:sz w:val="28"/>
          <w:szCs w:val="28"/>
          <w:shd w:fill="FFFFFF" w:val="clear"/>
        </w:rPr>
        <w:t xml:space="preserve"> </w:t>
      </w:r>
      <w:r>
        <w:rPr>
          <w:rFonts w:cs="Times New Roman" w:ascii="Times New Roman" w:hAnsi="Times New Roman"/>
          <w:sz w:val="28"/>
          <w:szCs w:val="28"/>
        </w:rPr>
        <w:t>за наявності</w:t>
      </w:r>
      <w:r>
        <w:rPr>
          <w:rFonts w:cs="Times New Roman" w:ascii="Times New Roman" w:hAnsi="Times New Roman"/>
          <w:bCs/>
          <w:color w:val="000000"/>
          <w:sz w:val="28"/>
          <w:szCs w:val="28"/>
          <w:shd w:fill="FFFFFF" w:val="clear"/>
        </w:rPr>
        <w:t xml:space="preserve"> відповідного доручення, під час попереднього запису надається перелік документів, що планується подаватися до Центру та скан-копію відповідного доручення.</w:t>
      </w:r>
    </w:p>
    <w:p>
      <w:pPr>
        <w:pStyle w:val="ListParagraph"/>
        <w:numPr>
          <w:ilvl w:val="0"/>
          <w:numId w:val="1"/>
        </w:numPr>
        <w:tabs>
          <w:tab w:val="left" w:pos="851" w:leader="none"/>
        </w:tabs>
        <w:ind w:left="0" w:right="0" w:hanging="360"/>
        <w:jc w:val="both"/>
        <w:rPr>
          <w:rFonts w:cs="Times New Roman" w:ascii="Times New Roman" w:hAnsi="Times New Roman"/>
          <w:bCs/>
          <w:color w:val="000000"/>
          <w:sz w:val="28"/>
          <w:szCs w:val="28"/>
          <w:shd w:fill="FFFFFF" w:val="clear"/>
        </w:rPr>
      </w:pPr>
      <w:r>
        <w:rPr>
          <w:rFonts w:cs="Times New Roman" w:ascii="Times New Roman" w:hAnsi="Times New Roman"/>
          <w:bCs/>
          <w:color w:val="000000"/>
          <w:sz w:val="28"/>
          <w:szCs w:val="28"/>
          <w:shd w:fill="FFFFFF" w:val="clear"/>
        </w:rPr>
        <w:t>Центр визначає дату та час візиту заявника/</w:t>
      </w:r>
      <w:r>
        <w:rPr>
          <w:rFonts w:cs="Times New Roman" w:ascii="Times New Roman" w:hAnsi="Times New Roman"/>
          <w:sz w:val="28"/>
          <w:szCs w:val="28"/>
        </w:rPr>
        <w:t>представника заявника,</w:t>
      </w:r>
      <w:r>
        <w:rPr>
          <w:rFonts w:cs="Times New Roman" w:ascii="Times New Roman" w:hAnsi="Times New Roman"/>
          <w:bCs/>
          <w:color w:val="000000"/>
          <w:sz w:val="28"/>
          <w:szCs w:val="28"/>
          <w:shd w:fill="FFFFFF" w:val="clear"/>
        </w:rPr>
        <w:t xml:space="preserve"> </w:t>
      </w:r>
      <w:r>
        <w:rPr>
          <w:rFonts w:cs="Times New Roman" w:ascii="Times New Roman" w:hAnsi="Times New Roman"/>
          <w:sz w:val="28"/>
          <w:szCs w:val="28"/>
        </w:rPr>
        <w:t>за наявності</w:t>
      </w:r>
      <w:r>
        <w:rPr>
          <w:rFonts w:cs="Times New Roman" w:ascii="Times New Roman" w:hAnsi="Times New Roman"/>
          <w:bCs/>
          <w:color w:val="000000"/>
          <w:sz w:val="28"/>
          <w:szCs w:val="28"/>
          <w:shd w:fill="FFFFFF" w:val="clear"/>
        </w:rPr>
        <w:t xml:space="preserve"> відповідного доручення, для подачі документів та сповіщає його про це листом довільної форми, що надсилається електронною поштою.</w:t>
      </w:r>
    </w:p>
    <w:p>
      <w:pPr>
        <w:pStyle w:val="ListParagraph"/>
        <w:numPr>
          <w:ilvl w:val="0"/>
          <w:numId w:val="1"/>
        </w:numPr>
        <w:tabs>
          <w:tab w:val="left" w:pos="851" w:leader="none"/>
        </w:tabs>
        <w:ind w:left="0" w:right="0" w:hanging="360"/>
        <w:jc w:val="both"/>
        <w:rPr>
          <w:rFonts w:cs="Times New Roman" w:ascii="Times New Roman" w:hAnsi="Times New Roman"/>
          <w:sz w:val="28"/>
          <w:szCs w:val="28"/>
        </w:rPr>
      </w:pPr>
      <w:r>
        <w:rPr>
          <w:rFonts w:cs="Times New Roman" w:ascii="Times New Roman" w:hAnsi="Times New Roman"/>
          <w:bCs/>
          <w:color w:val="000000"/>
          <w:sz w:val="28"/>
          <w:szCs w:val="28"/>
          <w:shd w:fill="FFFFFF" w:val="clear"/>
        </w:rPr>
        <w:t xml:space="preserve">Для забезпечення </w:t>
      </w:r>
      <w:r>
        <w:rPr>
          <w:rFonts w:cs="Times New Roman" w:ascii="Times New Roman" w:hAnsi="Times New Roman"/>
          <w:sz w:val="28"/>
          <w:szCs w:val="28"/>
        </w:rPr>
        <w:t>профілактичних та протиепідемічних заходів, заявникам/представникам заявника в Центрі проводиться дистанційна термометрія перед подачею документів. Подача документів відбувається тільки за наявності індивідуальних засобів захисту заявника.</w:t>
      </w:r>
    </w:p>
    <w:p>
      <w:pPr>
        <w:pStyle w:val="ListParagraph"/>
        <w:numPr>
          <w:ilvl w:val="0"/>
          <w:numId w:val="1"/>
        </w:numPr>
        <w:tabs>
          <w:tab w:val="left" w:pos="851" w:leader="none"/>
        </w:tabs>
        <w:ind w:left="0" w:right="0" w:hanging="360"/>
        <w:jc w:val="both"/>
        <w:rPr>
          <w:rFonts w:cs="Times New Roman" w:ascii="Times New Roman" w:hAnsi="Times New Roman"/>
          <w:bCs/>
          <w:color w:val="000000"/>
          <w:sz w:val="28"/>
          <w:szCs w:val="28"/>
          <w:shd w:fill="FFFFFF" w:val="clear"/>
        </w:rPr>
      </w:pPr>
      <w:r>
        <w:rPr>
          <w:rFonts w:cs="Times New Roman" w:ascii="Times New Roman" w:hAnsi="Times New Roman"/>
          <w:bCs/>
          <w:color w:val="000000"/>
          <w:sz w:val="28"/>
          <w:szCs w:val="28"/>
          <w:shd w:fill="FFFFFF" w:val="clear"/>
        </w:rPr>
        <w:t>Під час подачі реєстраційних матеріалів, співробітниками Центру заповнюються перевірочні листи (</w:t>
      </w:r>
      <w:r>
        <w:rPr>
          <w:rFonts w:cs="Times New Roman" w:ascii="Times New Roman" w:hAnsi="Times New Roman"/>
          <w:bCs/>
          <w:color w:val="000000"/>
          <w:sz w:val="28"/>
          <w:szCs w:val="28"/>
          <w:shd w:fill="FFFFFF" w:val="clear"/>
          <w:lang w:val="en-US"/>
        </w:rPr>
        <w:t>check</w:t>
      </w:r>
      <w:r>
        <w:rPr>
          <w:rFonts w:cs="Times New Roman" w:ascii="Times New Roman" w:hAnsi="Times New Roman"/>
          <w:bCs/>
          <w:color w:val="000000"/>
          <w:sz w:val="28"/>
          <w:szCs w:val="28"/>
          <w:shd w:fill="FFFFFF" w:val="clear"/>
        </w:rPr>
        <w:t>-</w:t>
      </w:r>
      <w:r>
        <w:rPr>
          <w:rFonts w:cs="Times New Roman" w:ascii="Times New Roman" w:hAnsi="Times New Roman"/>
          <w:bCs/>
          <w:color w:val="000000"/>
          <w:sz w:val="28"/>
          <w:szCs w:val="28"/>
          <w:shd w:fill="FFFFFF" w:val="clear"/>
          <w:lang w:val="en-US"/>
        </w:rPr>
        <w:t>list</w:t>
      </w:r>
      <w:r>
        <w:rPr>
          <w:rFonts w:cs="Times New Roman" w:ascii="Times New Roman" w:hAnsi="Times New Roman"/>
          <w:bCs/>
          <w:color w:val="000000"/>
          <w:sz w:val="28"/>
          <w:szCs w:val="28"/>
          <w:shd w:fill="FFFFFF" w:val="clear"/>
        </w:rPr>
        <w:t>), розроблені у відповідності до надісланої заявником під час попереднього запису інформації щодо запланованого переліку документів для подачі.</w:t>
      </w:r>
    </w:p>
    <w:p>
      <w:pPr>
        <w:pStyle w:val="ListParagraph"/>
        <w:numPr>
          <w:ilvl w:val="0"/>
          <w:numId w:val="1"/>
        </w:numPr>
        <w:tabs>
          <w:tab w:val="left" w:pos="851" w:leader="none"/>
        </w:tabs>
        <w:ind w:left="0" w:right="0" w:hanging="360"/>
        <w:jc w:val="both"/>
        <w:rPr>
          <w:rFonts w:cs="Times New Roman" w:ascii="Times New Roman" w:hAnsi="Times New Roman"/>
          <w:bCs/>
          <w:color w:val="000000"/>
          <w:sz w:val="28"/>
          <w:szCs w:val="28"/>
          <w:shd w:fill="FFFFFF" w:val="clear"/>
        </w:rPr>
      </w:pPr>
      <w:r>
        <w:rPr>
          <w:rFonts w:cs="Times New Roman" w:ascii="Times New Roman" w:hAnsi="Times New Roman"/>
          <w:bCs/>
          <w:color w:val="000000"/>
          <w:sz w:val="28"/>
          <w:szCs w:val="28"/>
          <w:shd w:fill="FFFFFF" w:val="clear"/>
        </w:rPr>
        <w:t xml:space="preserve">Заяви про державну реєстрацію (перереєстрацію), про внесення змін до реєстраційних матеріалів протягом дії реєстраційного посвідчення, про проведення клінічного випробування лікарського засобу, суттєву поправку (далі - Заяви) вносяться до системи «Фармакорішення» та погоджуються МОЗом через віддаленний доступ до останньої.  </w:t>
      </w:r>
    </w:p>
    <w:p>
      <w:pPr>
        <w:pStyle w:val="ListParagraph"/>
        <w:numPr>
          <w:ilvl w:val="0"/>
          <w:numId w:val="1"/>
        </w:numPr>
        <w:tabs>
          <w:tab w:val="left" w:pos="851" w:leader="none"/>
        </w:tabs>
        <w:ind w:left="0" w:right="0" w:hanging="360"/>
        <w:jc w:val="both"/>
        <w:rPr>
          <w:rFonts w:cs="Times New Roman" w:ascii="Times New Roman" w:hAnsi="Times New Roman"/>
          <w:sz w:val="28"/>
          <w:szCs w:val="28"/>
        </w:rPr>
      </w:pPr>
      <w:r>
        <w:rPr>
          <w:rFonts w:cs="Times New Roman" w:ascii="Times New Roman" w:hAnsi="Times New Roman"/>
          <w:bCs/>
          <w:color w:val="000000"/>
          <w:sz w:val="28"/>
          <w:szCs w:val="28"/>
          <w:shd w:fill="FFFFFF" w:val="clear"/>
        </w:rPr>
        <w:t xml:space="preserve">Скан-копію про оплату державного збору заявник надсилає до Центру на електронну пошту </w:t>
      </w:r>
      <w:hyperlink r:id="rId5">
        <w:r>
          <w:rPr>
            <w:rStyle w:val="Style13"/>
            <w:rFonts w:cs="Times New Roman" w:ascii="Times New Roman" w:hAnsi="Times New Roman"/>
            <w:sz w:val="28"/>
            <w:szCs w:val="28"/>
            <w:u w:val="single"/>
            <w:shd w:fill="FFFFFF" w:val="clear"/>
          </w:rPr>
          <w:t>voloshenkoi@dec.gov.ua</w:t>
        </w:r>
      </w:hyperlink>
      <w:r>
        <w:rPr>
          <w:rFonts w:cs="Times New Roman" w:ascii="Times New Roman" w:hAnsi="Times New Roman"/>
          <w:sz w:val="28"/>
          <w:szCs w:val="28"/>
          <w:shd w:fill="FFFFFF" w:val="clear"/>
        </w:rPr>
        <w:t xml:space="preserve"> з супровідним листом довільної форми щодо зобов</w:t>
      </w:r>
      <w:r>
        <w:rPr>
          <w:rFonts w:cs="Times New Roman" w:ascii="Times New Roman" w:hAnsi="Times New Roman"/>
          <w:sz w:val="28"/>
          <w:szCs w:val="28"/>
        </w:rPr>
        <w:t>’язання надати оригінальні документи після закінчення дії карантину.</w:t>
      </w:r>
    </w:p>
    <w:p>
      <w:pPr>
        <w:pStyle w:val="ListParagraph"/>
        <w:numPr>
          <w:ilvl w:val="0"/>
          <w:numId w:val="1"/>
        </w:numPr>
        <w:tabs>
          <w:tab w:val="left" w:pos="851" w:leader="none"/>
        </w:tabs>
        <w:ind w:left="0" w:right="0" w:hanging="360"/>
        <w:jc w:val="both"/>
        <w:rPr>
          <w:rFonts w:cs="Times New Roman" w:ascii="Times New Roman" w:hAnsi="Times New Roman"/>
          <w:bCs/>
          <w:color w:val="000000"/>
          <w:sz w:val="28"/>
          <w:szCs w:val="28"/>
          <w:shd w:fill="FFFFFF" w:val="clear"/>
        </w:rPr>
      </w:pPr>
      <w:r>
        <w:rPr>
          <w:rFonts w:cs="Times New Roman" w:ascii="Times New Roman" w:hAnsi="Times New Roman"/>
          <w:bCs/>
          <w:color w:val="000000"/>
          <w:sz w:val="28"/>
          <w:szCs w:val="28"/>
          <w:shd w:fill="FFFFFF" w:val="clear"/>
        </w:rPr>
        <w:t>Відповіді на зауваження та коментарі експертів заявником подаються у відповідності до пунктів 1 - 5 цього Порядку.</w:t>
      </w:r>
    </w:p>
    <w:p>
      <w:pPr>
        <w:pStyle w:val="ListParagraph"/>
        <w:numPr>
          <w:ilvl w:val="0"/>
          <w:numId w:val="1"/>
        </w:numPr>
        <w:tabs>
          <w:tab w:val="left" w:pos="993" w:leader="none"/>
        </w:tabs>
        <w:ind w:left="0" w:right="0" w:hanging="360"/>
        <w:jc w:val="both"/>
        <w:rPr>
          <w:rFonts w:cs="Times New Roman" w:ascii="Times New Roman" w:hAnsi="Times New Roman"/>
          <w:bCs/>
          <w:color w:val="000000"/>
          <w:sz w:val="28"/>
          <w:szCs w:val="28"/>
          <w:shd w:fill="FFFFFF" w:val="clear"/>
        </w:rPr>
      </w:pPr>
      <w:r>
        <w:rPr>
          <w:rFonts w:cs="Times New Roman" w:ascii="Times New Roman" w:hAnsi="Times New Roman"/>
          <w:bCs/>
          <w:color w:val="000000"/>
          <w:sz w:val="28"/>
          <w:szCs w:val="28"/>
          <w:shd w:fill="FFFFFF" w:val="clear"/>
        </w:rPr>
        <w:t>На період дії карантину розгляд матеріалів на лікарські засоби, що подані на державну реєстрацію (перереєстрацію), щодо внесення змін до реєстраційних матеріалів протягом дії реєстраційного посвідчення, щодо проведення клінічного випробування лікарського засобу, щодо суттєвої поправки відбувається на засіданнях Науково-експертної ради Центру та Науково-технічної ради Центру відповідно до положень про Науково-експертну раду Центру та Науково-технічну раду Центру. Склад Науково-експертної ради Центру та Науково-технічної ради Центру формується з урахуванням актуальних карантинних вимог.</w:t>
      </w:r>
    </w:p>
    <w:p>
      <w:pPr>
        <w:pStyle w:val="ListParagraph"/>
        <w:numPr>
          <w:ilvl w:val="0"/>
          <w:numId w:val="1"/>
        </w:numPr>
        <w:tabs>
          <w:tab w:val="left" w:pos="709" w:leader="none"/>
          <w:tab w:val="left" w:pos="993" w:leader="none"/>
        </w:tabs>
        <w:ind w:left="0" w:right="0" w:hanging="360"/>
        <w:jc w:val="both"/>
        <w:rPr>
          <w:rFonts w:cs="Times New Roman" w:ascii="Times New Roman" w:hAnsi="Times New Roman"/>
          <w:sz w:val="28"/>
          <w:szCs w:val="28"/>
        </w:rPr>
      </w:pPr>
      <w:r>
        <w:rPr>
          <w:rFonts w:cs="Times New Roman" w:ascii="Times New Roman" w:hAnsi="Times New Roman"/>
          <w:sz w:val="28"/>
          <w:szCs w:val="28"/>
        </w:rPr>
        <w:t xml:space="preserve">Результати проведених експертиз Центр направляє до МОЗ в паперовому або електронному вигляді на адресу </w:t>
      </w:r>
      <w:r>
        <w:rPr>
          <w:rFonts w:cs="Times New Roman" w:ascii="Times New Roman" w:hAnsi="Times New Roman"/>
          <w:sz w:val="28"/>
          <w:szCs w:val="28"/>
          <w:lang w:val="en-US"/>
        </w:rPr>
        <w:t>moz</w:t>
      </w:r>
      <w:r>
        <w:rPr>
          <w:rFonts w:cs="Times New Roman" w:ascii="Times New Roman" w:hAnsi="Times New Roman"/>
          <w:sz w:val="28"/>
          <w:szCs w:val="28"/>
          <w:lang w:val="ru-RU"/>
        </w:rPr>
        <w:t>@</w:t>
      </w:r>
      <w:r>
        <w:rPr>
          <w:rFonts w:cs="Times New Roman" w:ascii="Times New Roman" w:hAnsi="Times New Roman"/>
          <w:sz w:val="28"/>
          <w:szCs w:val="28"/>
          <w:lang w:val="en-US"/>
        </w:rPr>
        <w:t>moz</w:t>
      </w:r>
      <w:r>
        <w:rPr>
          <w:rFonts w:cs="Times New Roman" w:ascii="Times New Roman" w:hAnsi="Times New Roman"/>
          <w:sz w:val="28"/>
          <w:szCs w:val="28"/>
          <w:lang w:val="ru-RU"/>
        </w:rPr>
        <w:t>.</w:t>
      </w:r>
      <w:r>
        <w:rPr>
          <w:rFonts w:cs="Times New Roman" w:ascii="Times New Roman" w:hAnsi="Times New Roman"/>
          <w:sz w:val="28"/>
          <w:szCs w:val="28"/>
          <w:lang w:val="en-US"/>
        </w:rPr>
        <w:t>gov</w:t>
      </w:r>
      <w:r>
        <w:rPr>
          <w:rFonts w:cs="Times New Roman" w:ascii="Times New Roman" w:hAnsi="Times New Roman"/>
          <w:sz w:val="28"/>
          <w:szCs w:val="28"/>
          <w:lang w:val="ru-RU"/>
        </w:rPr>
        <w:t>.</w:t>
      </w:r>
      <w:r>
        <w:rPr>
          <w:rFonts w:cs="Times New Roman" w:ascii="Times New Roman" w:hAnsi="Times New Roman"/>
          <w:sz w:val="28"/>
          <w:szCs w:val="28"/>
          <w:lang w:val="en-US"/>
        </w:rPr>
        <w:t>ua</w:t>
      </w:r>
      <w:r>
        <w:rPr>
          <w:rFonts w:cs="Times New Roman" w:ascii="Times New Roman" w:hAnsi="Times New Roman"/>
          <w:sz w:val="28"/>
          <w:szCs w:val="28"/>
        </w:rPr>
        <w:t>.</w:t>
      </w:r>
    </w:p>
    <w:p>
      <w:pPr>
        <w:pStyle w:val="Normal"/>
        <w:ind w:left="0" w:right="0" w:firstLine="567"/>
        <w:jc w:val="both"/>
        <w:rPr>
          <w:rFonts w:cs="Times New Roman" w:ascii="Times New Roman" w:hAnsi="Times New Roman"/>
          <w:sz w:val="28"/>
          <w:szCs w:val="28"/>
        </w:rPr>
      </w:pPr>
      <w:r>
        <w:rPr>
          <w:rFonts w:cs="Times New Roman" w:ascii="Times New Roman" w:hAnsi="Times New Roman"/>
          <w:sz w:val="28"/>
          <w:szCs w:val="28"/>
        </w:rPr>
      </w:r>
    </w:p>
    <w:p>
      <w:pPr>
        <w:pStyle w:val="Normal"/>
        <w:spacing w:before="0" w:after="0"/>
        <w:jc w:val="both"/>
        <w:rPr>
          <w:rFonts w:cs="Times New Roman" w:ascii="Times New Roman" w:hAnsi="Times New Roman"/>
          <w:b/>
          <w:sz w:val="28"/>
          <w:szCs w:val="28"/>
        </w:rPr>
      </w:pPr>
      <w:r>
        <w:rPr>
          <w:rFonts w:cs="Times New Roman" w:ascii="Times New Roman" w:hAnsi="Times New Roman"/>
          <w:b/>
          <w:sz w:val="28"/>
          <w:szCs w:val="28"/>
        </w:rPr>
        <w:t xml:space="preserve">Генеральний директор </w:t>
      </w:r>
    </w:p>
    <w:p>
      <w:pPr>
        <w:pStyle w:val="Normal"/>
        <w:spacing w:before="0" w:after="0"/>
        <w:jc w:val="both"/>
        <w:rPr>
          <w:rFonts w:cs="Times New Roman" w:ascii="Times New Roman" w:hAnsi="Times New Roman"/>
          <w:b/>
          <w:sz w:val="28"/>
          <w:szCs w:val="28"/>
        </w:rPr>
      </w:pPr>
      <w:r>
        <w:rPr>
          <w:rFonts w:cs="Times New Roman" w:ascii="Times New Roman" w:hAnsi="Times New Roman"/>
          <w:b/>
          <w:sz w:val="28"/>
          <w:szCs w:val="28"/>
        </w:rPr>
        <w:t>Фармацевтичного директорату</w:t>
        <w:tab/>
        <w:tab/>
        <w:tab/>
        <w:tab/>
        <w:t xml:space="preserve">         Олександр Комаріда</w:t>
      </w:r>
    </w:p>
    <w:sectPr>
      <w:headerReference w:type="default" r:id="rId6"/>
      <w:headerReference w:type="first" r:id="rId7"/>
      <w:type w:val="nextPage"/>
      <w:pgSz w:w="11906" w:h="16838"/>
      <w:pgMar w:left="1417" w:right="850" w:header="708" w:top="850" w:footer="0" w:bottom="850"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NewtonCTT">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rPr/>
    </w:pPr>
    <w:r>
      <w:rPr/>
      <w:fldChar w:fldCharType="begin"/>
    </w:r>
    <w:r>
      <w:instrText> PAGE </w:instrText>
    </w:r>
    <w:r>
      <w:fldChar w:fldCharType="separate"/>
    </w:r>
    <w:r>
      <w:t>3</w:t>
    </w:r>
    <w:r>
      <w:fldChar w:fldCharType="end"/>
    </w:r>
  </w:p>
  <w:p>
    <w:pPr>
      <w:pStyle w:val="Style26"/>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rPr/>
    </w:pPr>
    <w:r>
      <w:rPr/>
      <w:fldChar w:fldCharType="begin"/>
    </w:r>
    <w:r>
      <w:instrText> PAGE </w:instrText>
    </w:r>
    <w:r>
      <w:fldChar w:fldCharType="separate"/>
    </w:r>
    <w:r>
      <w:t>3</w:t>
    </w:r>
    <w:r>
      <w:fldChar w:fldCharType="end"/>
    </w:r>
  </w:p>
  <w:p>
    <w:pPr>
      <w:pStyle w:val="Style26"/>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jc w:val="center"/>
      <w:rPr/>
    </w:pPr>
    <w:r>
      <w:rPr/>
      <w:fldChar w:fldCharType="begin"/>
    </w:r>
    <w:r>
      <w:instrText> PAGE </w:instrText>
    </w:r>
    <w:r>
      <w:fldChar w:fldCharType="separate"/>
    </w:r>
    <w:r>
      <w:t>2</w:t>
    </w:r>
    <w:r>
      <w:fldChar w:fldCharType="end"/>
    </w:r>
  </w:p>
  <w:p>
    <w:pPr>
      <w:pStyle w:val="Style2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uk-UA" w:eastAsia="en-US" w:bidi="ar-SA"/>
      </w:rPr>
    </w:rPrDefault>
    <w:pPrDefault>
      <w:pPr>
        <w:spacing w:lineRule="auto" w:line="256"/>
      </w:pPr>
    </w:pPrDefault>
  </w:docDefaults>
  <w:latentStyles w:count="371" w:defSemiHidden="0" w:defUIPriority="99" w:defQFormat="0" w:defUnhideWhenUsed="0" w:defLockedState="0">
    <w:lsdException w:qFormat="1" w:uiPriority="0" w:name="Normal"/>
    <w:lsdException w:qFormat="1" w:uiPriority="9" w:name="heading 1"/>
    <w:lsdException w:unhideWhenUsed="1" w:semiHidden="1" w:qFormat="1" w:uiPriority="9" w:name="heading 2"/>
    <w:lsdException w:unhideWhenUsed="1" w:semiHidden="1" w:qFormat="1" w:uiPriority="0"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uiPriority="0"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uiPriority="0"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uiPriority="0" w:name="Plain Text"/>
    <w:lsdException w:unhideWhenUsed="1" w:semiHidden="1" w:name="E-mail Signature"/>
    <w:lsdException w:unhideWhenUsed="1" w:semiHidden="1" w:name="HTML Top of Form"/>
    <w:lsdException w:unhideWhenUsed="1" w:semiHidden="1" w:name="HTML Bottom of Form"/>
    <w:lsdException w:unhideWhenUsed="1" w:semiHidden="1" w:uiPriority="0"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41a79"/>
    <w:pPr>
      <w:widowControl/>
      <w:suppressAutoHyphens w:val="true"/>
      <w:bidi w:val="0"/>
      <w:spacing w:lineRule="auto" w:line="256" w:before="0" w:after="160"/>
      <w:jc w:val="left"/>
    </w:pPr>
    <w:rPr>
      <w:rFonts w:ascii="Calibri" w:hAnsi="Calibri" w:eastAsia="Droid Sans Fallback" w:cs="Calibri"/>
      <w:color w:val="auto"/>
      <w:sz w:val="22"/>
      <w:szCs w:val="22"/>
      <w:lang w:val="uk-UA" w:eastAsia="en-US" w:bidi="ar-SA"/>
    </w:rPr>
  </w:style>
  <w:style w:type="paragraph" w:styleId="3">
    <w:name w:val="Заголовок 3"/>
    <w:qFormat/>
    <w:link w:val="30"/>
    <w:rsid w:val="00441a79"/>
    <w:basedOn w:val="Normal"/>
    <w:pPr>
      <w:outlineLvl w:val="2"/>
    </w:pPr>
    <w:rPr/>
  </w:style>
  <w:style w:type="character" w:styleId="DefaultParagraphFont" w:default="1">
    <w:name w:val="Default Paragraph Font"/>
    <w:uiPriority w:val="1"/>
    <w:semiHidden/>
    <w:unhideWhenUsed/>
    <w:rPr/>
  </w:style>
  <w:style w:type="character" w:styleId="31" w:customStyle="1">
    <w:name w:val="Заголовок 3 Знак"/>
    <w:link w:val="3"/>
    <w:rsid w:val="00441a79"/>
    <w:basedOn w:val="DefaultParagraphFont"/>
    <w:rPr>
      <w:rFonts w:ascii="Times New Roman" w:hAnsi="Times New Roman" w:eastAsia="Times New Roman" w:cs="Times New Roman"/>
      <w:b/>
      <w:bCs/>
      <w:sz w:val="27"/>
      <w:szCs w:val="27"/>
      <w:lang w:val="ru-RU" w:eastAsia="ru-RU"/>
    </w:rPr>
  </w:style>
  <w:style w:type="character" w:styleId="Rvts15" w:customStyle="1">
    <w:name w:val="rvts15"/>
    <w:rsid w:val="00441a79"/>
    <w:basedOn w:val="DefaultParagraphFont"/>
    <w:rPr/>
  </w:style>
  <w:style w:type="character" w:styleId="Rvts9" w:customStyle="1">
    <w:name w:val="rvts9"/>
    <w:rsid w:val="00441a79"/>
    <w:basedOn w:val="DefaultParagraphFont"/>
    <w:rPr/>
  </w:style>
  <w:style w:type="character" w:styleId="Rvts23" w:customStyle="1">
    <w:name w:val="rvts23"/>
    <w:rsid w:val="00441a79"/>
    <w:basedOn w:val="DefaultParagraphFont"/>
    <w:rPr/>
  </w:style>
  <w:style w:type="character" w:styleId="Style13">
    <w:name w:val="Интернет-ссылка"/>
    <w:uiPriority w:val="99"/>
    <w:unhideWhenUsed/>
    <w:rsid w:val="00441a79"/>
    <w:basedOn w:val="DefaultParagraphFont"/>
    <w:rPr>
      <w:color w:val="0000FF"/>
      <w:u w:val="single"/>
      <w:lang w:val="zxx" w:eastAsia="zxx" w:bidi="zxx"/>
    </w:rPr>
  </w:style>
  <w:style w:type="character" w:styleId="Rvts82" w:customStyle="1">
    <w:name w:val="rvts82"/>
    <w:rsid w:val="00441a79"/>
    <w:basedOn w:val="DefaultParagraphFont"/>
    <w:rPr/>
  </w:style>
  <w:style w:type="character" w:styleId="St131" w:customStyle="1">
    <w:name w:val="st131"/>
    <w:rsid w:val="00441a79"/>
    <w:rPr>
      <w:i/>
      <w:iCs/>
      <w:color w:val="0000FF"/>
    </w:rPr>
  </w:style>
  <w:style w:type="character" w:styleId="St46" w:customStyle="1">
    <w:name w:val="st46"/>
    <w:rsid w:val="00441a79"/>
    <w:rPr>
      <w:i/>
      <w:iCs/>
      <w:color w:val="000000"/>
    </w:rPr>
  </w:style>
  <w:style w:type="character" w:styleId="Rvts46" w:customStyle="1">
    <w:name w:val="rvts46"/>
    <w:rsid w:val="00441a79"/>
    <w:basedOn w:val="DefaultParagraphFont"/>
    <w:rPr/>
  </w:style>
  <w:style w:type="character" w:styleId="Rvts11" w:customStyle="1">
    <w:name w:val="rvts11"/>
    <w:rsid w:val="00441a79"/>
    <w:basedOn w:val="DefaultParagraphFont"/>
    <w:rPr/>
  </w:style>
  <w:style w:type="character" w:styleId="St42" w:customStyle="1">
    <w:name w:val="st42"/>
    <w:uiPriority w:val="99"/>
    <w:rsid w:val="00441a79"/>
    <w:rPr>
      <w:color w:val="000000"/>
    </w:rPr>
  </w:style>
  <w:style w:type="character" w:styleId="Style14" w:customStyle="1">
    <w:name w:val="Текст сноски Знак"/>
    <w:link w:val="a7"/>
    <w:rsid w:val="00441a79"/>
    <w:basedOn w:val="DefaultParagraphFont"/>
    <w:rPr>
      <w:rFonts w:ascii="Times New Roman" w:hAnsi="Times New Roman" w:eastAsia="Times New Roman" w:cs="Times New Roman"/>
      <w:sz w:val="20"/>
      <w:szCs w:val="20"/>
      <w:lang w:val="ru-RU" w:eastAsia="ru-RU"/>
    </w:rPr>
  </w:style>
  <w:style w:type="character" w:styleId="Footnotereference">
    <w:name w:val="footnote reference"/>
    <w:rsid w:val="00441a79"/>
    <w:rPr>
      <w:vertAlign w:val="superscript"/>
    </w:rPr>
  </w:style>
  <w:style w:type="character" w:styleId="Style15" w:customStyle="1">
    <w:name w:val="Верхний колонтитул Знак"/>
    <w:uiPriority w:val="99"/>
    <w:link w:val="aa"/>
    <w:rsid w:val="00441a79"/>
    <w:basedOn w:val="DefaultParagraphFont"/>
    <w:rPr/>
  </w:style>
  <w:style w:type="character" w:styleId="Style16" w:customStyle="1">
    <w:name w:val="Нижний колонтитул Знак"/>
    <w:uiPriority w:val="99"/>
    <w:link w:val="ac"/>
    <w:rsid w:val="00441a79"/>
    <w:basedOn w:val="DefaultParagraphFont"/>
    <w:rPr/>
  </w:style>
  <w:style w:type="character" w:styleId="Style17" w:customStyle="1">
    <w:name w:val="Текст выноски Знак"/>
    <w:uiPriority w:val="99"/>
    <w:semiHidden/>
    <w:link w:val="af"/>
    <w:rsid w:val="00441a79"/>
    <w:basedOn w:val="DefaultParagraphFont"/>
    <w:rPr>
      <w:rFonts w:ascii="Segoe UI" w:hAnsi="Segoe UI" w:cs="Segoe UI"/>
      <w:sz w:val="18"/>
      <w:szCs w:val="18"/>
    </w:rPr>
  </w:style>
  <w:style w:type="character" w:styleId="1" w:customStyle="1">
    <w:name w:val="Текст выноски Знак1"/>
    <w:uiPriority w:val="99"/>
    <w:semiHidden/>
    <w:rsid w:val="00441a79"/>
    <w:basedOn w:val="DefaultParagraphFont"/>
    <w:rPr>
      <w:rFonts w:ascii="Segoe UI" w:hAnsi="Segoe UI" w:cs="Segoe UI"/>
      <w:sz w:val="18"/>
      <w:szCs w:val="18"/>
    </w:rPr>
  </w:style>
  <w:style w:type="character" w:styleId="Style18" w:customStyle="1">
    <w:name w:val="Текст Знак"/>
    <w:link w:val="af0"/>
    <w:rsid w:val="00441a79"/>
    <w:basedOn w:val="DefaultParagraphFont"/>
    <w:rPr>
      <w:rFonts w:ascii="NewtonCTT" w:hAnsi="NewtonCTT" w:eastAsia="Times New Roman" w:cs="Times New Roman"/>
      <w:color w:val="000000"/>
      <w:sz w:val="20"/>
      <w:szCs w:val="20"/>
      <w:lang w:val="ru-RU" w:eastAsia="ru-RU"/>
    </w:rPr>
  </w:style>
  <w:style w:type="character" w:styleId="Rvts0" w:customStyle="1">
    <w:name w:val="rvts0"/>
    <w:rsid w:val="00441a79"/>
    <w:basedOn w:val="DefaultParagraphFont"/>
    <w:rPr/>
  </w:style>
  <w:style w:type="character" w:styleId="Style19" w:customStyle="1">
    <w:name w:val="Текст примечания Знак"/>
    <w:uiPriority w:val="99"/>
    <w:link w:val="af2"/>
    <w:rsid w:val="00441a79"/>
    <w:basedOn w:val="DefaultParagraphFont"/>
    <w:rPr>
      <w:sz w:val="20"/>
      <w:szCs w:val="20"/>
    </w:rPr>
  </w:style>
  <w:style w:type="character" w:styleId="Style20">
    <w:name w:val="Выделение"/>
    <w:uiPriority w:val="20"/>
    <w:qFormat/>
    <w:rsid w:val="00441a79"/>
    <w:basedOn w:val="DefaultParagraphFont"/>
    <w:rPr>
      <w:i/>
      <w:iCs/>
    </w:rPr>
  </w:style>
  <w:style w:type="character" w:styleId="St121" w:customStyle="1">
    <w:name w:val="st121"/>
    <w:uiPriority w:val="99"/>
    <w:rsid w:val="00441a79"/>
    <w:rPr>
      <w:i/>
      <w:iCs/>
      <w:color w:val="000000"/>
    </w:rPr>
  </w:style>
  <w:style w:type="character" w:styleId="Strong">
    <w:name w:val="Strong"/>
    <w:uiPriority w:val="22"/>
    <w:qFormat/>
    <w:rsid w:val="00235e7b"/>
    <w:basedOn w:val="DefaultParagraphFont"/>
    <w:rPr>
      <w:b/>
      <w:bCs/>
    </w:rPr>
  </w:style>
  <w:style w:type="character" w:styleId="ListLabel1">
    <w:name w:val="ListLabel 1"/>
    <w:rPr>
      <w:lang w:val="en-US"/>
    </w:rPr>
  </w:style>
  <w:style w:type="character" w:styleId="ListLabel2">
    <w:name w:val="ListLabel 2"/>
    <w:rPr>
      <w:color w:val="000000"/>
    </w:rPr>
  </w:style>
  <w:style w:type="character" w:styleId="ListLabel3">
    <w:name w:val="ListLabel 3"/>
    <w:rPr>
      <w:rFonts w:cs="Courier New"/>
    </w:rPr>
  </w:style>
  <w:style w:type="character" w:styleId="ListLabel4">
    <w:name w:val="ListLabel 4"/>
    <w:rPr>
      <w:rFonts w:eastAsia="Times New Roman" w:cs="Times New Roman"/>
    </w:rPr>
  </w:style>
  <w:style w:type="character" w:styleId="ListLabel5">
    <w:name w:val="ListLabel 5"/>
    <w:rPr>
      <w:color w:val="00000A"/>
    </w:rPr>
  </w:style>
  <w:style w:type="paragraph" w:styleId="Style21">
    <w:name w:val="Заголовок"/>
    <w:basedOn w:val="Normal"/>
    <w:next w:val="Style22"/>
    <w:pPr>
      <w:keepNext/>
      <w:spacing w:before="240" w:after="120"/>
    </w:pPr>
    <w:rPr>
      <w:rFonts w:ascii="Liberation Sans" w:hAnsi="Liberation Sans" w:eastAsia="Droid Sans Fallback" w:cs="FreeSans"/>
      <w:sz w:val="28"/>
      <w:szCs w:val="28"/>
    </w:rPr>
  </w:style>
  <w:style w:type="paragraph" w:styleId="Style22">
    <w:name w:val="Основной текст"/>
    <w:basedOn w:val="Normal"/>
    <w:pPr>
      <w:spacing w:lineRule="auto" w:line="288" w:before="0" w:after="140"/>
    </w:pPr>
    <w:rPr/>
  </w:style>
  <w:style w:type="paragraph" w:styleId="Style23">
    <w:name w:val="Список"/>
    <w:basedOn w:val="Style22"/>
    <w:pPr/>
    <w:rPr>
      <w:rFonts w:cs="FreeSans"/>
    </w:rPr>
  </w:style>
  <w:style w:type="paragraph" w:styleId="Style24">
    <w:name w:val="Название"/>
    <w:basedOn w:val="Normal"/>
    <w:pPr>
      <w:suppressLineNumbers/>
      <w:spacing w:before="120" w:after="120"/>
    </w:pPr>
    <w:rPr>
      <w:rFonts w:cs="FreeSans"/>
      <w:i/>
      <w:iCs/>
      <w:sz w:val="24"/>
      <w:szCs w:val="24"/>
    </w:rPr>
  </w:style>
  <w:style w:type="paragraph" w:styleId="Style25">
    <w:name w:val="Указатель"/>
    <w:basedOn w:val="Normal"/>
    <w:pPr>
      <w:suppressLineNumbers/>
    </w:pPr>
    <w:rPr>
      <w:rFonts w:cs="FreeSans"/>
    </w:rPr>
  </w:style>
  <w:style w:type="paragraph" w:styleId="Rvps12" w:customStyle="1">
    <w:name w:val="rvps12"/>
    <w:rsid w:val="00441a79"/>
    <w:basedOn w:val="Normal"/>
    <w:pPr>
      <w:spacing w:before="0" w:after="280"/>
    </w:pPr>
    <w:rPr>
      <w:rFonts w:ascii="Times New Roman" w:hAnsi="Times New Roman" w:eastAsia="Times New Roman" w:cs="Times New Roman"/>
      <w:sz w:val="24"/>
      <w:szCs w:val="24"/>
      <w:lang w:eastAsia="uk-UA"/>
    </w:rPr>
  </w:style>
  <w:style w:type="paragraph" w:styleId="Rvps7" w:customStyle="1">
    <w:name w:val="rvps7"/>
    <w:rsid w:val="00441a79"/>
    <w:basedOn w:val="Normal"/>
    <w:pPr>
      <w:spacing w:before="0" w:after="280"/>
    </w:pPr>
    <w:rPr>
      <w:rFonts w:ascii="Times New Roman" w:hAnsi="Times New Roman" w:eastAsia="Times New Roman" w:cs="Times New Roman"/>
      <w:sz w:val="24"/>
      <w:szCs w:val="24"/>
      <w:lang w:eastAsia="uk-UA"/>
    </w:rPr>
  </w:style>
  <w:style w:type="paragraph" w:styleId="Rvps14" w:customStyle="1">
    <w:name w:val="rvps14"/>
    <w:rsid w:val="00441a79"/>
    <w:basedOn w:val="Normal"/>
    <w:pPr>
      <w:spacing w:before="0" w:after="280"/>
    </w:pPr>
    <w:rPr>
      <w:rFonts w:ascii="Times New Roman" w:hAnsi="Times New Roman" w:eastAsia="Times New Roman" w:cs="Times New Roman"/>
      <w:sz w:val="24"/>
      <w:szCs w:val="24"/>
      <w:lang w:eastAsia="uk-UA"/>
    </w:rPr>
  </w:style>
  <w:style w:type="paragraph" w:styleId="Rvps6" w:customStyle="1">
    <w:name w:val="rvps6"/>
    <w:rsid w:val="00441a79"/>
    <w:basedOn w:val="Normal"/>
    <w:pPr>
      <w:spacing w:before="0" w:after="280"/>
    </w:pPr>
    <w:rPr>
      <w:rFonts w:ascii="Times New Roman" w:hAnsi="Times New Roman" w:eastAsia="Times New Roman" w:cs="Times New Roman"/>
      <w:sz w:val="24"/>
      <w:szCs w:val="24"/>
      <w:lang w:eastAsia="uk-UA"/>
    </w:rPr>
  </w:style>
  <w:style w:type="paragraph" w:styleId="Rvps2" w:customStyle="1">
    <w:name w:val="rvps2"/>
    <w:rsid w:val="00441a79"/>
    <w:basedOn w:val="Normal"/>
    <w:pPr>
      <w:spacing w:before="0" w:after="280"/>
    </w:pPr>
    <w:rPr>
      <w:rFonts w:ascii="Times New Roman" w:hAnsi="Times New Roman" w:eastAsia="Times New Roman" w:cs="Times New Roman"/>
      <w:sz w:val="24"/>
      <w:szCs w:val="24"/>
      <w:lang w:eastAsia="uk-UA"/>
    </w:rPr>
  </w:style>
  <w:style w:type="paragraph" w:styleId="NormalWeb">
    <w:name w:val="Normal (Web)"/>
    <w:rsid w:val="00441a79"/>
    <w:basedOn w:val="Normal"/>
    <w:pPr>
      <w:spacing w:before="0" w:after="280"/>
    </w:pPr>
    <w:rPr>
      <w:rFonts w:ascii="Times New Roman" w:hAnsi="Times New Roman" w:eastAsia="Times New Roman" w:cs="Times New Roman"/>
      <w:sz w:val="24"/>
      <w:szCs w:val="24"/>
      <w:lang w:val="ru-RU" w:eastAsia="ru-RU"/>
    </w:rPr>
  </w:style>
  <w:style w:type="paragraph" w:styleId="ListParagraph">
    <w:name w:val="List Paragraph"/>
    <w:uiPriority w:val="34"/>
    <w:qFormat/>
    <w:rsid w:val="00441a79"/>
    <w:basedOn w:val="Normal"/>
    <w:pPr>
      <w:spacing w:before="0" w:after="160"/>
      <w:ind w:left="720" w:right="0" w:hanging="0"/>
      <w:contextualSpacing/>
    </w:pPr>
    <w:rPr/>
  </w:style>
  <w:style w:type="paragraph" w:styleId="NoSpacing">
    <w:name w:val="No Spacing"/>
    <w:uiPriority w:val="1"/>
    <w:qFormat/>
    <w:rsid w:val="00441a79"/>
    <w:pPr>
      <w:widowControl/>
      <w:suppressAutoHyphens w:val="true"/>
      <w:bidi w:val="0"/>
      <w:spacing w:lineRule="auto" w:line="240" w:before="0" w:after="0"/>
      <w:jc w:val="left"/>
    </w:pPr>
    <w:rPr>
      <w:rFonts w:ascii="Calibri" w:hAnsi="Calibri" w:eastAsia="Droid Sans Fallback" w:cs="Calibri"/>
      <w:color w:val="auto"/>
      <w:sz w:val="22"/>
      <w:szCs w:val="22"/>
      <w:lang w:val="uk-UA" w:eastAsia="en-US" w:bidi="ar-SA"/>
    </w:rPr>
  </w:style>
  <w:style w:type="paragraph" w:styleId="Footnotetext">
    <w:name w:val="footnote text"/>
    <w:link w:val="a8"/>
    <w:rsid w:val="00441a79"/>
    <w:basedOn w:val="Normal"/>
    <w:pPr>
      <w:spacing w:lineRule="auto" w:line="240" w:before="0" w:after="0"/>
    </w:pPr>
    <w:rPr>
      <w:rFonts w:ascii="Times New Roman" w:hAnsi="Times New Roman" w:eastAsia="Times New Roman" w:cs="Times New Roman"/>
      <w:sz w:val="20"/>
      <w:szCs w:val="20"/>
      <w:lang w:val="ru-RU" w:eastAsia="ru-RU"/>
    </w:rPr>
  </w:style>
  <w:style w:type="paragraph" w:styleId="Style26">
    <w:name w:val="Верхний колонтитул"/>
    <w:uiPriority w:val="99"/>
    <w:unhideWhenUsed/>
    <w:link w:val="ab"/>
    <w:rsid w:val="00441a79"/>
    <w:basedOn w:val="Normal"/>
    <w:pPr>
      <w:tabs>
        <w:tab w:val="center" w:pos="4819" w:leader="none"/>
        <w:tab w:val="right" w:pos="9639" w:leader="none"/>
      </w:tabs>
      <w:spacing w:lineRule="auto" w:line="240" w:before="0" w:after="0"/>
    </w:pPr>
    <w:rPr/>
  </w:style>
  <w:style w:type="paragraph" w:styleId="Style27">
    <w:name w:val="Нижний колонтитул"/>
    <w:uiPriority w:val="99"/>
    <w:unhideWhenUsed/>
    <w:link w:val="ad"/>
    <w:rsid w:val="00441a79"/>
    <w:basedOn w:val="Normal"/>
    <w:pPr>
      <w:tabs>
        <w:tab w:val="center" w:pos="4819" w:leader="none"/>
        <w:tab w:val="right" w:pos="9639" w:leader="none"/>
      </w:tabs>
      <w:spacing w:lineRule="auto" w:line="240" w:before="0" w:after="0"/>
    </w:pPr>
    <w:rPr/>
  </w:style>
  <w:style w:type="paragraph" w:styleId="BalloonText">
    <w:name w:val="Balloon Text"/>
    <w:uiPriority w:val="99"/>
    <w:semiHidden/>
    <w:unhideWhenUsed/>
    <w:link w:val="ae"/>
    <w:rsid w:val="00441a79"/>
    <w:basedOn w:val="Normal"/>
    <w:pPr>
      <w:spacing w:lineRule="auto" w:line="240" w:before="0" w:after="0"/>
    </w:pPr>
    <w:rPr>
      <w:rFonts w:ascii="Segoe UI" w:hAnsi="Segoe UI" w:cs="Segoe UI"/>
      <w:sz w:val="18"/>
      <w:szCs w:val="18"/>
    </w:rPr>
  </w:style>
  <w:style w:type="paragraph" w:styleId="PlainText">
    <w:name w:val="Plain Text"/>
    <w:link w:val="af1"/>
    <w:rsid w:val="00441a79"/>
    <w:basedOn w:val="Normal"/>
    <w:pPr>
      <w:spacing w:lineRule="atLeast" w:line="248" w:before="0" w:after="0"/>
      <w:ind w:left="0" w:right="0" w:firstLine="283"/>
      <w:jc w:val="both"/>
    </w:pPr>
    <w:rPr>
      <w:rFonts w:ascii="NewtonCTT" w:hAnsi="NewtonCTT" w:eastAsia="Times New Roman" w:cs="Times New Roman"/>
      <w:color w:val="000000"/>
      <w:sz w:val="20"/>
      <w:szCs w:val="20"/>
      <w:lang w:val="ru-RU" w:eastAsia="ru-RU"/>
    </w:rPr>
  </w:style>
  <w:style w:type="paragraph" w:styleId="Annotationtext">
    <w:name w:val="annotation text"/>
    <w:uiPriority w:val="99"/>
    <w:unhideWhenUsed/>
    <w:link w:val="af3"/>
    <w:rsid w:val="00441a79"/>
    <w:basedOn w:val="Normal"/>
    <w:pPr>
      <w:spacing w:lineRule="auto" w:line="240"/>
    </w:pPr>
    <w:rPr>
      <w:sz w:val="20"/>
      <w:szCs w:val="20"/>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styleId="af5">
    <w:name w:val="Table Grid"/>
    <w:basedOn w:val="a1"/>
    <w:rsid w:val="00441a79"/>
    <w:pPr>
      <w:spacing w:after="0" w:lineRule="auto" w:line="240"/>
    </w:pPr>
    <w:rPr>
      <w:lang w:eastAsia="uk-UA"/>
      <w:sz w:val="20"/>
      <w:szCs w:val="20"/>
    </w:rPr>
    <w:tblPr>
      <w:tblInd w:type="dxa" w:w="0"/>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1079;&#1072; &#1079;&#1088;&#1072;&#1079;&#1082;&#1086;&#1084;, &#1097;&#1086; &#1076;&#1086;&#1076;&#1072;&#1108;&#1090;&#1100;&#1089;&#1103;" TargetMode="External"/><Relationship Id="rId4" Type="http://schemas.openxmlformats.org/officeDocument/2006/relationships/hyperlink" Target="mailto:voloshenkoi@dec.gov.ua" TargetMode="External"/><Relationship Id="rId5" Type="http://schemas.openxmlformats.org/officeDocument/2006/relationships/hyperlink" Target="mailto:voloshenkoi@dec.gov.ua" TargetMode="Externa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2020-03-19T12:31:00Z</dcterms:created>
  <dc:creator>Yana</dc:creator>
  <dc:language>uk-UA</dc:language>
  <cp:lastModifiedBy>Думенко Тетяна Михайлiвна</cp:lastModifiedBy>
  <cp:lastPrinted>2020-03-19T10:42:00Z</cp:lastPrinted>
  <dcterms:modified xsi:type="dcterms:W3CDTF">2020-03-19T12:44:00Z</dcterms:modified>
  <cp:revision>6</cp:revision>
</cp:coreProperties>
</file>